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宋体" w:hAnsi="宋体" w:cs="FZSSK--GBK1-0"/>
          <w:kern w:val="0"/>
          <w:sz w:val="44"/>
          <w:szCs w:val="29"/>
        </w:rPr>
        <w:t>瓦 房 店 市 人 民 政 府</w:t>
      </w:r>
    </w:p>
    <w:p>
      <w:pPr>
        <w:jc w:val="center"/>
        <w:rPr>
          <w:rFonts w:hint="eastAsia" w:ascii="宋体" w:hAnsi="宋体" w:eastAsia="宋体" w:cs="宋体"/>
          <w:b/>
          <w:bCs/>
          <w:kern w:val="2"/>
          <w:sz w:val="52"/>
          <w:szCs w:val="52"/>
          <w:lang w:val="en-US" w:eastAsia="zh-CN" w:bidi="ar-SA"/>
        </w:rPr>
      </w:pPr>
      <w:r>
        <w:rPr>
          <w:rFonts w:hint="eastAsia" w:ascii="宋体" w:hAnsi="宋体" w:eastAsia="宋体" w:cs="宋体"/>
          <w:b/>
          <w:bCs/>
          <w:kern w:val="2"/>
          <w:sz w:val="44"/>
          <w:szCs w:val="44"/>
          <w:lang w:val="en-US" w:eastAsia="zh-CN" w:bidi="ar-SA"/>
        </w:rPr>
        <w:t>行政复议决定书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rPr>
          <w:rFonts w:hint="eastAsia" w:ascii="仿宋" w:hAnsi="仿宋" w:eastAsia="仿宋"/>
          <w:sz w:val="32"/>
          <w:szCs w:val="32"/>
        </w:rPr>
      </w:pPr>
      <w:r>
        <w:rPr>
          <w:rFonts w:hint="eastAsia" w:ascii="仿宋" w:hAnsi="仿宋" w:eastAsia="仿宋"/>
          <w:sz w:val="32"/>
          <w:szCs w:val="32"/>
        </w:rPr>
        <w:t>瓦政行复</w:t>
      </w:r>
      <w:r>
        <w:rPr>
          <w:rFonts w:hint="eastAsia" w:ascii="仿宋" w:hAnsi="仿宋" w:eastAsia="仿宋"/>
          <w:sz w:val="32"/>
          <w:szCs w:val="32"/>
          <w:lang w:eastAsia="zh-CN"/>
        </w:rPr>
        <w:t>决</w:t>
      </w:r>
      <w:r>
        <w:rPr>
          <w:rFonts w:hint="eastAsia" w:ascii="仿宋" w:hAnsi="仿宋" w:eastAsia="仿宋"/>
          <w:sz w:val="32"/>
          <w:szCs w:val="32"/>
        </w:rPr>
        <w:t>字〔20</w:t>
      </w:r>
      <w:r>
        <w:rPr>
          <w:rFonts w:hint="eastAsia" w:ascii="仿宋" w:hAnsi="仿宋" w:eastAsia="仿宋"/>
          <w:sz w:val="32"/>
          <w:szCs w:val="32"/>
          <w:lang w:val="en-US" w:eastAsia="zh-CN"/>
        </w:rPr>
        <w:t>23</w:t>
      </w:r>
      <w:r>
        <w:rPr>
          <w:rFonts w:hint="eastAsia" w:ascii="仿宋" w:hAnsi="仿宋" w:eastAsia="仿宋"/>
          <w:sz w:val="32"/>
          <w:szCs w:val="32"/>
        </w:rPr>
        <w:t>〕</w:t>
      </w:r>
      <w:r>
        <w:rPr>
          <w:rFonts w:hint="eastAsia" w:ascii="仿宋" w:hAnsi="仿宋" w:eastAsia="仿宋"/>
          <w:sz w:val="32"/>
          <w:szCs w:val="32"/>
          <w:lang w:val="en-US" w:eastAsia="zh-CN"/>
        </w:rPr>
        <w:t>42</w:t>
      </w:r>
      <w:r>
        <w:rPr>
          <w:rFonts w:hint="eastAsia" w:ascii="仿宋" w:hAnsi="仿宋" w:eastAsia="仿宋"/>
          <w:sz w:val="32"/>
          <w:szCs w:val="32"/>
        </w:rPr>
        <w:t>号</w:t>
      </w:r>
    </w:p>
    <w:p>
      <w:pPr>
        <w:spacing w:line="560" w:lineRule="exact"/>
        <w:ind w:firstLine="640"/>
        <w:rPr>
          <w:rFonts w:hint="eastAsia" w:ascii="仿宋" w:hAnsi="仿宋" w:eastAsia="仿宋"/>
          <w:sz w:val="32"/>
          <w:szCs w:val="32"/>
        </w:rPr>
      </w:pPr>
      <w:r>
        <w:rPr>
          <w:rFonts w:hint="eastAsia" w:ascii="仿宋" w:hAnsi="仿宋" w:eastAsia="仿宋"/>
          <w:sz w:val="32"/>
          <w:szCs w:val="32"/>
        </w:rPr>
        <w:t>申请人：</w:t>
      </w:r>
      <w:r>
        <w:rPr>
          <w:rFonts w:hint="eastAsia" w:ascii="仿宋_GB2312" w:eastAsia="仿宋_GB2312"/>
          <w:sz w:val="32"/>
          <w:szCs w:val="32"/>
          <w:lang w:eastAsia="zh-CN"/>
        </w:rPr>
        <w:t>华设设计集团股份有限公司</w:t>
      </w:r>
    </w:p>
    <w:p>
      <w:pPr>
        <w:spacing w:line="560" w:lineRule="exact"/>
        <w:ind w:firstLine="640"/>
        <w:rPr>
          <w:rFonts w:hint="default" w:ascii="仿宋" w:hAnsi="仿宋" w:eastAsia="仿宋"/>
          <w:sz w:val="32"/>
          <w:szCs w:val="32"/>
          <w:lang w:val="en-US" w:eastAsia="zh-CN"/>
        </w:rPr>
      </w:pPr>
      <w:r>
        <w:rPr>
          <w:rFonts w:hint="eastAsia" w:ascii="仿宋" w:hAnsi="仿宋" w:eastAsia="仿宋"/>
          <w:sz w:val="32"/>
          <w:szCs w:val="32"/>
          <w:lang w:eastAsia="zh-CN"/>
        </w:rPr>
        <w:t>住所地：江苏省南京市秦淮区紫云大道</w:t>
      </w:r>
      <w:r>
        <w:rPr>
          <w:rFonts w:hint="eastAsia" w:ascii="仿宋" w:hAnsi="仿宋" w:eastAsia="仿宋"/>
          <w:sz w:val="32"/>
          <w:szCs w:val="32"/>
          <w:lang w:val="en-US" w:eastAsia="zh-CN"/>
        </w:rPr>
        <w:t>9号</w:t>
      </w:r>
    </w:p>
    <w:p>
      <w:pPr>
        <w:spacing w:line="56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t>法定代表人：杨卫东，系该公司董事长</w:t>
      </w:r>
    </w:p>
    <w:p>
      <w:pPr>
        <w:spacing w:line="56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t>委托代理人：陈汝扬，系该公司集团副总裁</w:t>
      </w:r>
    </w:p>
    <w:p>
      <w:pPr>
        <w:spacing w:line="56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t>被申请人：瓦房店市住房和城乡建设局</w:t>
      </w:r>
    </w:p>
    <w:p>
      <w:p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eastAsia="zh-CN"/>
        </w:rPr>
        <w:t>住所地：瓦房店市西长春路一段</w:t>
      </w:r>
      <w:r>
        <w:rPr>
          <w:rFonts w:hint="eastAsia" w:ascii="仿宋" w:hAnsi="仿宋" w:eastAsia="仿宋"/>
          <w:sz w:val="32"/>
          <w:szCs w:val="32"/>
          <w:lang w:val="en-US" w:eastAsia="zh-CN"/>
        </w:rPr>
        <w:t>1号</w:t>
      </w:r>
    </w:p>
    <w:p>
      <w:p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法定代表人：王宝任，系该局局长</w:t>
      </w:r>
    </w:p>
    <w:p>
      <w:p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委托代理人：王照翔，系该局工作人员</w:t>
      </w:r>
    </w:p>
    <w:p>
      <w:p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委托代理人：王雪岩，系该局工作人员</w:t>
      </w:r>
    </w:p>
    <w:p>
      <w:p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申请人对被申请人于2023年4月13日作出的瓦住建罚决字</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2023</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第（03）号《行政处罚决定书》不服，于2023年6月9日向本机关申请行政复议，本机关依法予以受理。被申请人于法定期限内作出书面答复并提交了作出具体行政行为的证据、依据及相关材料。审理期间，另一案涉当事人中国市政工程华北设计研究总院有限公司（下称华北院）对其公司员工李湧、徐玉幢在案涉招投标项目中存在串通投标的行为向公安机关报案，本机关在收到天津市公安局河西分局津西公（刑）立字</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2023</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1334号《立案决定书》后，依据《中华人民共和国行政复议法实施条例》第四十一条第一款第（七）项规定，中止案件审理。刑事案件审结后，本机关收到天津市河西区人民检察院津西检刑不诉</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2023</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119号《不起诉决定书》，于2023年12月13日恢复本案审理，现已审理终结。</w:t>
      </w:r>
    </w:p>
    <w:p>
      <w:p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申请人请求：撤销被申请人作出的瓦住建罚决字</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2023</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第（03）号《行政处罚决定书》，并作出不予处罚的决定。</w:t>
      </w:r>
    </w:p>
    <w:p>
      <w:pPr>
        <w:numPr>
          <w:ilvl w:val="0"/>
          <w:numId w:val="0"/>
        </w:num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申请人称：申请人于2023年5月23日通过信用中国网站公示的行政处罚信息得知该行政处罚，该处罚决定认定相互串通投标缺乏事实和法律依据。申请人参与投标时正值国内疫情高峰期，专职投标人员患病居家，临时更换人员编制标书，错误地使用了外部电脑，存在用同一台电脑编辑文件的可能，导致出现“文件编辑特征码雷同”，但相关投标文件均为申请人人员独立编制并投标。被申请人将误用同一台电脑编辑投标文件直接认定为“投标文件由同一单位或个人编制”并进行处罚，与相关案件事实不符，缺乏事实和法律依据。</w:t>
      </w:r>
    </w:p>
    <w:p>
      <w:pPr>
        <w:numPr>
          <w:ilvl w:val="0"/>
          <w:numId w:val="0"/>
        </w:num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申请人认为，该行政处罚认定事实有误、执法过重，不利于营造良好的营商环境。同时，该处罚造成申请人无法参与全国范围内多个项目的投标，给申请人的生产经营造成了严重不良影响，且该影响至少持续三年。故请求复议机关依法撤销被申请人作出的行政处罚决定，并作出不予处罚的决定。</w:t>
      </w:r>
    </w:p>
    <w:p>
      <w:pPr>
        <w:numPr>
          <w:ilvl w:val="0"/>
          <w:numId w:val="0"/>
        </w:numPr>
        <w:spacing w:line="560" w:lineRule="exact"/>
        <w:ind w:firstLine="64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被申请人称：该行政处罚决定认定的事实系瓦房店市2023年度老旧小区改造一期项目勘察设计建设工程，项目编号为210101TP002016953001，于2022年12月16日10时在大连市公共资源交易中心开标、评标，在评标准备阶段，系统软件清标时，系统推送申请人华设设计集团股份有限公司（下称华设公司）与中国市政工程华北设计研究总院有限公司（下称华北院）的标书编辑特征码分析一致，特征码为782B4640ADE9@HBSE30401703198_00000001@BFEBFBFF000A0652@PKEAE028JEA18G@ffe869ec20574bb0b35685ab1cdaa536，现场经评审委员会一致意见，依法对申请人与华北院作出废标处理，该结果于2023年12月16日由代理机构在“辽宁建设工程信息”网站发布中标候选人公示时，一并予以公示，公示中明确废标单位、废标原因及异议和投诉渠道。</w:t>
      </w:r>
    </w:p>
    <w:p>
      <w:pPr>
        <w:numPr>
          <w:ilvl w:val="0"/>
          <w:numId w:val="0"/>
        </w:numPr>
        <w:spacing w:line="560" w:lineRule="exact"/>
        <w:ind w:firstLine="64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该行政处罚适用的法律依据系《中华人民共和国招标投标实施条例》第四十条“有下列情形之一的，视为投标人相互串通投标：（一）不同投标人的投标文件由同一单位或者个人编制”；《中华人民共和国招标投标法实施条例释义》第四十条释义一“不同投标人的投标文件由同一单位或者个人编制属于《条例》第39条第1项所规定的情形，是投标人相互串通投标报价的极端表现。如不同单位的投标文件出自同一台电脑，不同单位的投标文件的编制者为同一人，等等。”依据《中华人民共和国招标投标法》第五十三条之规定予以处理。</w:t>
      </w:r>
    </w:p>
    <w:p>
      <w:pPr>
        <w:numPr>
          <w:ilvl w:val="0"/>
          <w:numId w:val="0"/>
        </w:numPr>
        <w:spacing w:line="560" w:lineRule="exact"/>
        <w:ind w:firstLine="64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该行政处罚的裁量基准系2016年10月份辽宁省住建厅出台的《辽宁省建设厅行政处罚自由裁量权指导标准》投标人相互串通投标的裁量幅度为：处项目合同金额千分之五以上千分之八以下罚款、2023年1月份出台的《辽宁省住房和城乡建设系统行政处罚裁量权基准》投标人相互串通投标的裁量幅度为：情节轻微的，处项目合同金额千分之五以上千分之六以下罚款，我局经集体讨论决定，对相对人予以千分之五的罚款处罚。</w:t>
      </w:r>
    </w:p>
    <w:p>
      <w:pPr>
        <w:numPr>
          <w:ilvl w:val="0"/>
          <w:numId w:val="0"/>
        </w:numPr>
        <w:spacing w:line="560" w:lineRule="exact"/>
        <w:ind w:firstLine="64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被申请人全面贯彻落实省住建厅、大连市住建局关于投标文件编辑特征码一致的违法违规线索处理的指导意见，尚未有“首违不罚”、“轻微不罚”及酌定不罚相关规定。</w:t>
      </w:r>
    </w:p>
    <w:p>
      <w:pPr>
        <w:numPr>
          <w:ilvl w:val="0"/>
          <w:numId w:val="0"/>
        </w:numPr>
        <w:spacing w:line="560" w:lineRule="exact"/>
        <w:ind w:firstLine="64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经审理查明：被申请人在收到案件线索后，于2023年</w:t>
      </w:r>
      <w:r>
        <w:rPr>
          <w:rFonts w:hint="eastAsia" w:ascii="仿宋" w:hAnsi="仿宋" w:eastAsia="仿宋"/>
          <w:b w:val="0"/>
          <w:bCs w:val="0"/>
          <w:sz w:val="32"/>
          <w:szCs w:val="32"/>
          <w:highlight w:val="none"/>
          <w:lang w:val="en-US" w:eastAsia="zh-CN"/>
        </w:rPr>
        <w:t>3月28</w:t>
      </w:r>
      <w:r>
        <w:rPr>
          <w:rFonts w:hint="eastAsia" w:ascii="仿宋" w:hAnsi="仿宋" w:eastAsia="仿宋"/>
          <w:b w:val="0"/>
          <w:bCs w:val="0"/>
          <w:sz w:val="32"/>
          <w:szCs w:val="32"/>
          <w:lang w:val="en-US" w:eastAsia="zh-CN"/>
        </w:rPr>
        <w:t>日对申请人在瓦房店市2023年度老旧小区改造一期项目勘察设计建设工程项目中存在“投标人相互串通投标”的行为立案调查。2023年3月29日，被申请人对申请人的投标项目委托代理人李琦就串标情况进行询问，并制作了《询问笔录》。2023年</w:t>
      </w:r>
      <w:r>
        <w:rPr>
          <w:rFonts w:hint="eastAsia" w:ascii="仿宋" w:hAnsi="仿宋" w:eastAsia="仿宋"/>
          <w:b w:val="0"/>
          <w:bCs w:val="0"/>
          <w:sz w:val="32"/>
          <w:szCs w:val="32"/>
          <w:highlight w:val="none"/>
          <w:lang w:val="en-US" w:eastAsia="zh-CN"/>
        </w:rPr>
        <w:t>4月3日</w:t>
      </w:r>
      <w:r>
        <w:rPr>
          <w:rFonts w:hint="eastAsia" w:ascii="仿宋" w:hAnsi="仿宋" w:eastAsia="仿宋"/>
          <w:b w:val="0"/>
          <w:bCs w:val="0"/>
          <w:sz w:val="32"/>
          <w:szCs w:val="32"/>
          <w:lang w:val="en-US" w:eastAsia="zh-CN"/>
        </w:rPr>
        <w:t>，被申请人经集体讨论后，对申请人作出了《行政处罚先行告知书》并于次日送达李琦。2023年4月13日被申请人作出《行政处罚决定书》并于当日送达李琦。李琦以申请人名义于2023年4月21日根据《行政处罚决定书》中的要求缴纳了罚款24,040.00元。</w:t>
      </w:r>
    </w:p>
    <w:p>
      <w:pPr>
        <w:numPr>
          <w:ilvl w:val="0"/>
          <w:numId w:val="0"/>
        </w:numPr>
        <w:spacing w:line="560" w:lineRule="exact"/>
        <w:ind w:firstLine="64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另查明，案涉另一公司华北院在得知该处罚情况后，委托天津德度律师事务所律师郑旭向其所在地公安机关对其公司员工李湧、徐玉幢涉嫌串标行为报案，天津市公安局河西分局于2023年6月21日出具津西公（刑）立字</w:t>
      </w:r>
      <w:r>
        <w:rPr>
          <w:rFonts w:hint="eastAsia" w:ascii="仿宋" w:hAnsi="仿宋" w:eastAsia="仿宋" w:cs="仿宋"/>
          <w:b w:val="0"/>
          <w:bCs w:val="0"/>
          <w:sz w:val="32"/>
          <w:szCs w:val="32"/>
          <w:lang w:val="en-US" w:eastAsia="zh-CN"/>
        </w:rPr>
        <w:t>〔</w:t>
      </w:r>
      <w:r>
        <w:rPr>
          <w:rFonts w:hint="eastAsia" w:ascii="仿宋" w:hAnsi="仿宋" w:eastAsia="仿宋"/>
          <w:b w:val="0"/>
          <w:bCs w:val="0"/>
          <w:sz w:val="32"/>
          <w:szCs w:val="32"/>
          <w:lang w:val="en-US" w:eastAsia="zh-CN"/>
        </w:rPr>
        <w:t>2023</w:t>
      </w:r>
      <w:r>
        <w:rPr>
          <w:rFonts w:hint="eastAsia" w:ascii="仿宋" w:hAnsi="仿宋" w:eastAsia="仿宋" w:cs="仿宋"/>
          <w:b w:val="0"/>
          <w:bCs w:val="0"/>
          <w:sz w:val="32"/>
          <w:szCs w:val="32"/>
          <w:lang w:val="en-US" w:eastAsia="zh-CN"/>
        </w:rPr>
        <w:t>〕</w:t>
      </w:r>
      <w:r>
        <w:rPr>
          <w:rFonts w:hint="eastAsia" w:ascii="仿宋" w:hAnsi="仿宋" w:eastAsia="仿宋"/>
          <w:b w:val="0"/>
          <w:bCs w:val="0"/>
          <w:sz w:val="32"/>
          <w:szCs w:val="32"/>
          <w:lang w:val="en-US" w:eastAsia="zh-CN"/>
        </w:rPr>
        <w:t>1334号《立案决定书》对该案立案侦查。根据天津市公安局河西分局《起诉意见书》（津西公（刑）诉字</w:t>
      </w:r>
      <w:r>
        <w:rPr>
          <w:rFonts w:hint="eastAsia" w:ascii="仿宋" w:hAnsi="仿宋" w:eastAsia="仿宋" w:cs="仿宋"/>
          <w:b w:val="0"/>
          <w:bCs w:val="0"/>
          <w:sz w:val="32"/>
          <w:szCs w:val="32"/>
          <w:lang w:val="en-US" w:eastAsia="zh-CN"/>
        </w:rPr>
        <w:t>〔</w:t>
      </w:r>
      <w:r>
        <w:rPr>
          <w:rFonts w:hint="eastAsia" w:ascii="仿宋" w:hAnsi="仿宋" w:eastAsia="仿宋"/>
          <w:b w:val="0"/>
          <w:bCs w:val="0"/>
          <w:sz w:val="32"/>
          <w:szCs w:val="32"/>
          <w:lang w:val="en-US" w:eastAsia="zh-CN"/>
        </w:rPr>
        <w:t>2023</w:t>
      </w:r>
      <w:r>
        <w:rPr>
          <w:rFonts w:hint="eastAsia" w:ascii="仿宋" w:hAnsi="仿宋" w:eastAsia="仿宋" w:cs="仿宋"/>
          <w:b w:val="0"/>
          <w:bCs w:val="0"/>
          <w:sz w:val="32"/>
          <w:szCs w:val="32"/>
          <w:lang w:val="en-US" w:eastAsia="zh-CN"/>
        </w:rPr>
        <w:t>〕</w:t>
      </w:r>
      <w:r>
        <w:rPr>
          <w:rFonts w:hint="eastAsia" w:ascii="仿宋" w:hAnsi="仿宋" w:eastAsia="仿宋"/>
          <w:b w:val="0"/>
          <w:bCs w:val="0"/>
          <w:sz w:val="32"/>
          <w:szCs w:val="32"/>
          <w:lang w:val="en-US" w:eastAsia="zh-CN"/>
        </w:rPr>
        <w:t>467号）内容显示，华北院员工李湧承认为了能够顺利中标，事先与申请人公司负责人曹丹进行密谋，曹丹以公司名义配合李湧进行竞标。华北院员工李湧指使华北院职员徐玉幢以华设公司的名义制作标书，再由曹丹提供Ca密钥远程参与线上投标。后因华北院与申请人标书文件编辑特征码雷同，被被申请人认定串通投标。</w:t>
      </w:r>
    </w:p>
    <w:p>
      <w:pPr>
        <w:numPr>
          <w:ilvl w:val="0"/>
          <w:numId w:val="0"/>
        </w:numPr>
        <w:spacing w:line="560" w:lineRule="exact"/>
        <w:ind w:firstLine="64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再查明，李琦作为申请人投标项目委托代理人在接受被申请人调查询问时，对“项目具体负责人是谁？具体经办人是谁？”的回答为“都是我本人，是我制作的标书。”对申请人与华北院投标的标书编辑特征码一致的原因解释为“我公司本部是外地，我们在瓦房店进行招投标业务时，是住在瓦房店市火车站周边的如家酒店进行招投标工作的。酒店有电脑，可能在酒店电脑上打开招投标文件时不小心与其他公司用了同一台电脑。”但公安机关对李琦的询问笔录显示，李琦并非申请人公司员工，华北院涉案人员李湧系其姐夫，李琦受李湧所托假借申请人委托代理人的名义接受被申请人的调查询问、签收行政处罚有关文书及上缴罚款。另根据天津市河西区人民检察院津西检刑不诉〔2023〕120号《不起诉决定书》内容显示，华北院员工李湧为避免瓦房店项目流标，通过他人介绍擅自联系曹丹以华设公司名义参与竞标。李湧、曹丹在双方单位不知情情况下串通投标，并安排下属徐玉幢（华北院员工）、章丽萍（申请人员工）具体负责。徐玉幢在李湧安排下使用同一电脑制作华北院与华设公司标书并进行线上投标。申请人员工曹丹在公安机关询问“为什么文件编辑特征码雷同”时回答称“因为同一台电脑做了两份标书”，对“华设公司投瓦房店市老旧小区改造项目一期的标书是谁制作的？”的回答是“章丽萍和华北院的人一起做的。”</w:t>
      </w:r>
    </w:p>
    <w:p>
      <w:pPr>
        <w:numPr>
          <w:ilvl w:val="0"/>
          <w:numId w:val="0"/>
        </w:numPr>
        <w:spacing w:line="560" w:lineRule="exact"/>
        <w:ind w:firstLine="64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上述事实有下列证据证明：1.《行政处罚决定书》及送达回证 2.《行政处罚先行告知书》及送达回证 3.《询问笔录》4.《清标检查报告》5.《废标通知书》6.辽宁建设工程信息网中标候选人公示截图7.营业执照8.法定代表人身份证明9.授权委托书10.行政处罚立案审批表11.案件集体讨论笔录12.案件处理审批表13.辽宁省2023年罚没款收据14.行政处罚案件结案审批表15.行政处罚案件结案报告16.调查证明材料介绍信17.津西公（刑）立字〔2023〕1334号《立案决定书》18.津西检刑不诉〔2023〕120号《不起诉决定书》19.公安机关询问笔录及询问笔录20.津西公（刑）诉字〔2023〕467号《起诉意见书》21.检察机关讯问笔录等</w:t>
      </w:r>
    </w:p>
    <w:p>
      <w:pPr>
        <w:numPr>
          <w:ilvl w:val="0"/>
          <w:numId w:val="0"/>
        </w:numPr>
        <w:spacing w:line="560" w:lineRule="exact"/>
        <w:ind w:firstLine="640"/>
        <w:rPr>
          <w:rFonts w:hint="eastAsia" w:ascii="仿宋" w:hAnsi="仿宋" w:eastAsia="仿宋"/>
          <w:b w:val="0"/>
          <w:bCs w:val="0"/>
          <w:sz w:val="32"/>
          <w:szCs w:val="32"/>
          <w:shd w:val="clear" w:color="auto" w:fill="auto"/>
          <w:lang w:val="en-US" w:eastAsia="zh-CN"/>
        </w:rPr>
      </w:pPr>
      <w:r>
        <w:rPr>
          <w:rFonts w:hint="eastAsia" w:ascii="仿宋" w:hAnsi="仿宋" w:eastAsia="仿宋"/>
          <w:b w:val="0"/>
          <w:bCs w:val="0"/>
          <w:sz w:val="32"/>
          <w:szCs w:val="32"/>
          <w:lang w:val="en-US" w:eastAsia="zh-CN"/>
        </w:rPr>
        <w:t>本机关认为：《中华人民共和国招标投标法》第七条规定:“招标投标活动及其当事人应当接受依法实施的监督。有关行政监督部门依法对招标投标活动实施监督，依法查处招标投标活动中的违法行为。对招标投标活动的行政监督及有关部门的具体职权划分，由国务院规定”，《中华人民共和国招标投标法实施条例》第四条第二款规定:“县级以上地方人民政府发展改革部门指导和协调本行政区域的招标投标工作。县级以上地方人民政府有关部门按照规定的职责分工，对招标投标活动实施监督，依法查处招标投标活动中的违法行为。”</w:t>
      </w:r>
      <w:r>
        <w:rPr>
          <w:rFonts w:hint="eastAsia" w:ascii="仿宋" w:hAnsi="仿宋" w:eastAsia="仿宋"/>
          <w:b w:val="0"/>
          <w:bCs w:val="0"/>
          <w:sz w:val="32"/>
          <w:szCs w:val="32"/>
          <w:shd w:val="clear" w:color="auto" w:fill="auto"/>
          <w:lang w:val="en-US" w:eastAsia="zh-CN"/>
        </w:rPr>
        <w:t>《国务院办公厅关于印发住房和城乡建设部主要职责内设机构和人员编制规定的通知》（国办发〔2008〕74号）规定由住建部门组织实施房屋和市政工程项目招投标活动的监督执法。因此，被申请人对案涉“</w:t>
      </w:r>
      <w:r>
        <w:rPr>
          <w:rFonts w:hint="eastAsia" w:ascii="仿宋" w:hAnsi="仿宋" w:eastAsia="仿宋"/>
          <w:b w:val="0"/>
          <w:bCs w:val="0"/>
          <w:sz w:val="32"/>
          <w:szCs w:val="32"/>
          <w:lang w:val="en-US" w:eastAsia="zh-CN"/>
        </w:rPr>
        <w:t>瓦房店市2023年度老旧小区改造一期项目勘察设计建设工程项目</w:t>
      </w:r>
      <w:r>
        <w:rPr>
          <w:rFonts w:hint="eastAsia" w:ascii="仿宋" w:hAnsi="仿宋" w:eastAsia="仿宋"/>
          <w:b w:val="0"/>
          <w:bCs w:val="0"/>
          <w:sz w:val="32"/>
          <w:szCs w:val="32"/>
          <w:shd w:val="clear" w:color="auto" w:fill="auto"/>
          <w:lang w:val="en-US" w:eastAsia="zh-CN"/>
        </w:rPr>
        <w:t>”投标过程中串通投标的行为具有作出行政处罚的法定职权。</w:t>
      </w:r>
    </w:p>
    <w:p>
      <w:pPr>
        <w:numPr>
          <w:ilvl w:val="0"/>
          <w:numId w:val="0"/>
        </w:numPr>
        <w:spacing w:line="560" w:lineRule="exact"/>
        <w:ind w:firstLine="640"/>
        <w:rPr>
          <w:rFonts w:hint="eastAsia" w:ascii="仿宋" w:hAnsi="仿宋" w:eastAsia="仿宋"/>
          <w:b w:val="0"/>
          <w:bCs w:val="0"/>
          <w:sz w:val="32"/>
          <w:szCs w:val="32"/>
          <w:shd w:val="clear" w:color="auto" w:fill="auto"/>
          <w:lang w:val="en-US" w:eastAsia="zh-CN"/>
        </w:rPr>
      </w:pPr>
      <w:r>
        <w:rPr>
          <w:rFonts w:hint="eastAsia" w:ascii="仿宋" w:hAnsi="仿宋" w:eastAsia="仿宋"/>
          <w:b w:val="0"/>
          <w:bCs w:val="0"/>
          <w:sz w:val="32"/>
          <w:szCs w:val="32"/>
          <w:shd w:val="clear" w:color="auto" w:fill="auto"/>
          <w:lang w:val="en-US" w:eastAsia="zh-CN"/>
        </w:rPr>
        <w:t>《中华人民共和国招标投标法实施条例》四十条规定:“有下列情形之一的，视为投标人相互串通投标:(一)不同投标人的投标文件由同一单位或者个人编制”。即投标文件由同一主体编制，可依法直接推定不同投标人之间存在串标行为。本案中，被申请人依据辽宁省电子招投标交易综合服务系统开评标系统认定案涉两公司标书编辑特征码分析一致的线索，在询问笔录与案件线索反映的主要事实不一致的情况下未对案涉标书编辑特征码一致的原因进一步调查核实即认定两家公司的招投标文件由同一单位或个人编制，作出了行政处罚。且案涉串标行为经公安机关及检察机关事后查明系申请人公司员工曹丹的个人行为，申请人对此并不知情。故被申请人在未准确核实到案当事人身份，且在案件主要事实存疑又无其他证据证明申请人存在串标行为的情形下，根据《中华人民共和国招标投标法》第五十三条的规定对申请人作出行政处罚，属主要事实不清，证据不足。</w:t>
      </w:r>
    </w:p>
    <w:p>
      <w:pPr>
        <w:numPr>
          <w:ilvl w:val="0"/>
          <w:numId w:val="0"/>
        </w:numPr>
        <w:spacing w:line="560" w:lineRule="exact"/>
        <w:ind w:firstLine="640"/>
        <w:rPr>
          <w:rFonts w:hint="eastAsia" w:ascii="仿宋" w:hAnsi="仿宋" w:eastAsia="仿宋"/>
          <w:b w:val="0"/>
          <w:bCs w:val="0"/>
          <w:sz w:val="32"/>
          <w:szCs w:val="32"/>
          <w:shd w:val="clear" w:color="auto" w:fill="auto"/>
          <w:lang w:val="en-US" w:eastAsia="zh-CN"/>
        </w:rPr>
      </w:pPr>
      <w:r>
        <w:rPr>
          <w:rFonts w:hint="eastAsia" w:ascii="仿宋" w:hAnsi="仿宋" w:eastAsia="仿宋"/>
          <w:b w:val="0"/>
          <w:bCs w:val="0"/>
          <w:sz w:val="32"/>
          <w:szCs w:val="32"/>
          <w:shd w:val="clear" w:color="auto" w:fill="auto"/>
          <w:lang w:val="en-US" w:eastAsia="zh-CN"/>
        </w:rPr>
        <w:t>综上，根据《中华人民共和国行政复议法》第二十八条第一款第（三）项第1目之规定，本机关决定如下：</w:t>
      </w:r>
    </w:p>
    <w:p>
      <w:pPr>
        <w:numPr>
          <w:ilvl w:val="0"/>
          <w:numId w:val="0"/>
        </w:numPr>
        <w:spacing w:line="560" w:lineRule="exact"/>
        <w:ind w:firstLine="640"/>
        <w:rPr>
          <w:rFonts w:hint="eastAsia" w:ascii="仿宋" w:hAnsi="仿宋" w:eastAsia="仿宋"/>
          <w:b w:val="0"/>
          <w:bCs w:val="0"/>
          <w:sz w:val="32"/>
          <w:szCs w:val="32"/>
          <w:shd w:val="clear" w:color="auto" w:fill="auto"/>
          <w:lang w:val="en-US" w:eastAsia="zh-CN"/>
        </w:rPr>
      </w:pPr>
      <w:r>
        <w:rPr>
          <w:rFonts w:hint="eastAsia" w:ascii="仿宋" w:hAnsi="仿宋" w:eastAsia="仿宋"/>
          <w:b w:val="0"/>
          <w:bCs w:val="0"/>
          <w:sz w:val="32"/>
          <w:szCs w:val="32"/>
          <w:shd w:val="clear" w:color="auto" w:fill="auto"/>
          <w:lang w:val="en-US" w:eastAsia="zh-CN"/>
        </w:rPr>
        <w:t>撤销被申请人作出的</w:t>
      </w:r>
      <w:bookmarkStart w:id="0" w:name="_GoBack"/>
      <w:bookmarkEnd w:id="0"/>
      <w:r>
        <w:rPr>
          <w:rFonts w:hint="eastAsia" w:ascii="仿宋" w:hAnsi="仿宋" w:eastAsia="仿宋"/>
          <w:b w:val="0"/>
          <w:bCs w:val="0"/>
          <w:sz w:val="32"/>
          <w:szCs w:val="32"/>
          <w:shd w:val="clear" w:color="auto" w:fill="auto"/>
          <w:lang w:val="en-US" w:eastAsia="zh-CN"/>
        </w:rPr>
        <w:t>瓦住建罚决字〔2023〕第（03）号《行政处罚决定书》。</w:t>
      </w:r>
    </w:p>
    <w:p>
      <w:pPr>
        <w:numPr>
          <w:ilvl w:val="0"/>
          <w:numId w:val="0"/>
        </w:numPr>
        <w:spacing w:line="560" w:lineRule="exact"/>
        <w:ind w:firstLine="640"/>
        <w:rPr>
          <w:rFonts w:hint="eastAsia" w:ascii="仿宋" w:hAnsi="仿宋" w:eastAsia="仿宋" w:cs="仿宋"/>
          <w:bCs/>
          <w:sz w:val="32"/>
          <w:szCs w:val="32"/>
          <w:shd w:val="clear" w:color="auto" w:fill="auto"/>
        </w:rPr>
      </w:pPr>
      <w:r>
        <w:rPr>
          <w:rFonts w:hint="eastAsia" w:ascii="仿宋" w:hAnsi="仿宋" w:eastAsia="仿宋" w:cs="仿宋"/>
          <w:bCs/>
          <w:sz w:val="32"/>
          <w:szCs w:val="32"/>
          <w:shd w:val="clear" w:color="auto" w:fill="auto"/>
        </w:rPr>
        <w:t>申请人如不服本决定，可以自收到本行政复议决定书之日起十五日内,向有管辖权的人民法院提起行政诉讼。</w:t>
      </w:r>
    </w:p>
    <w:p>
      <w:pPr>
        <w:numPr>
          <w:ilvl w:val="0"/>
          <w:numId w:val="0"/>
        </w:numPr>
        <w:spacing w:line="560" w:lineRule="exact"/>
        <w:ind w:firstLine="640"/>
        <w:rPr>
          <w:rFonts w:hint="eastAsia" w:ascii="仿宋" w:hAnsi="仿宋" w:eastAsia="仿宋" w:cs="仿宋"/>
          <w:bCs/>
          <w:sz w:val="32"/>
          <w:szCs w:val="32"/>
          <w:shd w:val="clear" w:color="auto" w:fill="auto"/>
        </w:rPr>
      </w:pPr>
    </w:p>
    <w:p>
      <w:pPr>
        <w:numPr>
          <w:ilvl w:val="0"/>
          <w:numId w:val="0"/>
        </w:numPr>
        <w:spacing w:line="560" w:lineRule="exact"/>
        <w:ind w:firstLine="640"/>
        <w:rPr>
          <w:rFonts w:hint="eastAsia" w:ascii="仿宋" w:hAnsi="仿宋" w:eastAsia="仿宋" w:cs="仿宋"/>
          <w:bCs/>
          <w:sz w:val="32"/>
          <w:szCs w:val="32"/>
          <w:shd w:val="clear" w:color="auto" w:fill="auto"/>
        </w:rPr>
      </w:pPr>
    </w:p>
    <w:p>
      <w:pPr>
        <w:numPr>
          <w:ilvl w:val="0"/>
          <w:numId w:val="0"/>
        </w:numPr>
        <w:spacing w:line="560" w:lineRule="exact"/>
        <w:ind w:firstLine="640"/>
        <w:rPr>
          <w:rFonts w:hint="default"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 xml:space="preserve">                       2023年12月27日</w:t>
      </w:r>
    </w:p>
    <w:p>
      <w:pPr>
        <w:rPr>
          <w:b w:val="0"/>
          <w:bCs w:val="0"/>
        </w:rPr>
      </w:pPr>
    </w:p>
    <w:sectPr>
      <w:pgSz w:w="11906" w:h="16838"/>
      <w:pgMar w:top="1440" w:right="1800" w:bottom="195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2F2C061C-49F2-46C4-99EA-0151B92CCE85}"/>
  </w:font>
  <w:font w:name="FZSSK--GBK1-0">
    <w:altName w:val="宋体"/>
    <w:panose1 w:val="00000000000000000000"/>
    <w:charset w:val="86"/>
    <w:family w:val="auto"/>
    <w:pitch w:val="default"/>
    <w:sig w:usb0="00000000" w:usb1="00000000" w:usb2="00000010" w:usb3="00000000" w:csb0="00040000" w:csb1="00000000"/>
    <w:embedRegular r:id="rId2" w:fontKey="{2A6AEB85-A143-4543-B435-2B1E9BCE2CB2}"/>
  </w:font>
  <w:font w:name="仿宋">
    <w:panose1 w:val="02010609060101010101"/>
    <w:charset w:val="86"/>
    <w:family w:val="modern"/>
    <w:pitch w:val="default"/>
    <w:sig w:usb0="800002BF" w:usb1="38CF7CFA" w:usb2="00000016" w:usb3="00000000" w:csb0="00040001" w:csb1="00000000"/>
    <w:embedRegular r:id="rId3" w:fontKey="{9C1761BD-377B-4DCF-806E-3162BA087612}"/>
  </w:font>
  <w:font w:name="仿宋_GB2312">
    <w:panose1 w:val="02010609030101010101"/>
    <w:charset w:val="86"/>
    <w:family w:val="modern"/>
    <w:pitch w:val="default"/>
    <w:sig w:usb0="00000001" w:usb1="080E0000" w:usb2="00000000" w:usb3="00000000" w:csb0="00040000" w:csb1="00000000"/>
    <w:embedRegular r:id="rId4" w:fontKey="{EA549A03-E243-4482-85F3-8D12272551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OGM1NWFjMWNjYzVjNzUwYTJlOGUyOGRiYjRhZTAifQ=="/>
  </w:docVars>
  <w:rsids>
    <w:rsidRoot w:val="0C8234C8"/>
    <w:rsid w:val="079270B3"/>
    <w:rsid w:val="093C152D"/>
    <w:rsid w:val="0B1B30BC"/>
    <w:rsid w:val="0C8234C8"/>
    <w:rsid w:val="0E821FED"/>
    <w:rsid w:val="13BE59BA"/>
    <w:rsid w:val="18A82057"/>
    <w:rsid w:val="1AAB623F"/>
    <w:rsid w:val="1DBA1560"/>
    <w:rsid w:val="1EA27958"/>
    <w:rsid w:val="23EA427B"/>
    <w:rsid w:val="29892F37"/>
    <w:rsid w:val="2B100608"/>
    <w:rsid w:val="348C6C89"/>
    <w:rsid w:val="3C0E673C"/>
    <w:rsid w:val="478657BA"/>
    <w:rsid w:val="4F1D2EA8"/>
    <w:rsid w:val="54372AB5"/>
    <w:rsid w:val="56CE1893"/>
    <w:rsid w:val="5821117D"/>
    <w:rsid w:val="5E93710A"/>
    <w:rsid w:val="5F654353"/>
    <w:rsid w:val="5FA97E40"/>
    <w:rsid w:val="5FEA0B84"/>
    <w:rsid w:val="61D64F0F"/>
    <w:rsid w:val="627B4304"/>
    <w:rsid w:val="7091168B"/>
    <w:rsid w:val="74911176"/>
    <w:rsid w:val="74AD5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2023-12-21T06:40:00Z</dcterms:created>
  <dc:creator>玉</dc:creator>
  <cp:lastModifiedBy>玉</cp:lastModifiedBy>
  <cp:lastPrinted>2023-12-29T06:36:21Z</cp:lastPrinted>
  <dcterms:modified xsi:type="dcterms:W3CDTF">2023-12-29T06:53:19Z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8A18B27C52084E9B867095F72A431E8A_13</vt:lpwstr>
  </property>
</Properties>
</file>