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3F85" w:rsidRPr="00461207" w:rsidRDefault="00AE3F85" w:rsidP="00AD5C43">
      <w:pPr>
        <w:widowControl/>
        <w:shd w:val="clear" w:color="auto" w:fill="FFFFFF"/>
        <w:spacing w:line="525" w:lineRule="atLeast"/>
        <w:jc w:val="center"/>
        <w:textAlignment w:val="baseline"/>
        <w:outlineLvl w:val="2"/>
        <w:rPr>
          <w:rFonts w:ascii="微软雅黑" w:eastAsia="宋体" w:hAnsi="微软雅黑" w:cs="宋体"/>
          <w:b/>
          <w:bCs/>
          <w:color w:val="333333"/>
          <w:kern w:val="0"/>
          <w:sz w:val="44"/>
          <w:szCs w:val="44"/>
        </w:rPr>
      </w:pPr>
      <w:r w:rsidRPr="00461207">
        <w:rPr>
          <w:rFonts w:ascii="微软雅黑" w:eastAsia="宋体" w:hAnsi="微软雅黑" w:cs="宋体" w:hint="eastAsia"/>
          <w:b/>
          <w:bCs/>
          <w:color w:val="333333"/>
          <w:kern w:val="0"/>
          <w:sz w:val="44"/>
          <w:szCs w:val="44"/>
        </w:rPr>
        <w:t>《瓦房店市</w:t>
      </w:r>
      <w:r w:rsidR="00CC1B4B">
        <w:rPr>
          <w:rFonts w:ascii="微软雅黑" w:eastAsia="宋体" w:hAnsi="微软雅黑" w:cs="宋体"/>
          <w:b/>
          <w:bCs/>
          <w:color w:val="333333"/>
          <w:kern w:val="0"/>
          <w:sz w:val="44"/>
          <w:szCs w:val="44"/>
        </w:rPr>
        <w:t>农村集体经营性建设用地入市</w:t>
      </w:r>
      <w:r w:rsidRPr="00461207">
        <w:rPr>
          <w:rFonts w:ascii="微软雅黑" w:eastAsia="宋体" w:hAnsi="微软雅黑" w:cs="宋体" w:hint="eastAsia"/>
          <w:b/>
          <w:bCs/>
          <w:color w:val="333333"/>
          <w:kern w:val="0"/>
          <w:sz w:val="44"/>
          <w:szCs w:val="44"/>
        </w:rPr>
        <w:t>管理办法</w:t>
      </w:r>
      <w:r w:rsidR="000B0AE3">
        <w:rPr>
          <w:rFonts w:ascii="微软雅黑" w:eastAsia="宋体" w:hAnsi="微软雅黑" w:cs="宋体" w:hint="eastAsia"/>
          <w:b/>
          <w:bCs/>
          <w:color w:val="333333"/>
          <w:kern w:val="0"/>
          <w:sz w:val="44"/>
          <w:szCs w:val="44"/>
        </w:rPr>
        <w:t>（试行）</w:t>
      </w:r>
      <w:r w:rsidRPr="00461207">
        <w:rPr>
          <w:rFonts w:ascii="微软雅黑" w:eastAsia="宋体" w:hAnsi="微软雅黑" w:cs="宋体"/>
          <w:b/>
          <w:bCs/>
          <w:color w:val="333333"/>
          <w:kern w:val="0"/>
          <w:sz w:val="44"/>
          <w:szCs w:val="44"/>
        </w:rPr>
        <w:t>》</w:t>
      </w:r>
      <w:r w:rsidR="00AD5C43" w:rsidRPr="00461207">
        <w:rPr>
          <w:rFonts w:ascii="微软雅黑" w:eastAsia="宋体" w:hAnsi="微软雅黑" w:cs="宋体"/>
          <w:b/>
          <w:bCs/>
          <w:color w:val="333333"/>
          <w:kern w:val="0"/>
          <w:sz w:val="44"/>
          <w:szCs w:val="44"/>
        </w:rPr>
        <w:t>及配套文件起草说明</w:t>
      </w:r>
    </w:p>
    <w:p w:rsidR="00AD5C43" w:rsidRPr="00AD5C43" w:rsidRDefault="00AD5C43" w:rsidP="00AD5C43">
      <w:pPr>
        <w:widowControl/>
        <w:shd w:val="clear" w:color="auto" w:fill="FFFFFF"/>
        <w:spacing w:line="525" w:lineRule="atLeast"/>
        <w:jc w:val="center"/>
        <w:textAlignment w:val="baseline"/>
        <w:outlineLvl w:val="2"/>
        <w:rPr>
          <w:rFonts w:ascii="微软雅黑" w:eastAsia="宋体" w:hAnsi="微软雅黑" w:cs="宋体"/>
          <w:b/>
          <w:bCs/>
          <w:color w:val="333333"/>
          <w:kern w:val="0"/>
          <w:sz w:val="36"/>
          <w:szCs w:val="36"/>
        </w:rPr>
      </w:pPr>
    </w:p>
    <w:p w:rsidR="00AD5C43" w:rsidRPr="00AD5C43" w:rsidRDefault="00AD5C43" w:rsidP="00AD5C43">
      <w:pPr>
        <w:pStyle w:val="a3"/>
        <w:shd w:val="clear" w:color="auto" w:fill="FFFFFF"/>
        <w:spacing w:before="0" w:beforeAutospacing="0" w:after="0" w:afterAutospacing="0" w:line="585" w:lineRule="atLeast"/>
        <w:ind w:firstLineChars="196" w:firstLine="627"/>
        <w:rPr>
          <w:rFonts w:ascii="黑体" w:eastAsia="黑体" w:hAnsi="黑体" w:cs="Times New Roman"/>
          <w:color w:val="333333"/>
          <w:sz w:val="32"/>
          <w:szCs w:val="32"/>
        </w:rPr>
      </w:pPr>
      <w:r w:rsidRPr="00AD5C43">
        <w:rPr>
          <w:rFonts w:ascii="黑体" w:eastAsia="黑体" w:hAnsi="黑体" w:hint="eastAsia"/>
          <w:bCs/>
          <w:color w:val="333333"/>
          <w:sz w:val="32"/>
          <w:szCs w:val="32"/>
        </w:rPr>
        <w:t>一、《瓦房店市</w:t>
      </w:r>
      <w:r w:rsidR="00CC1B4B">
        <w:rPr>
          <w:rFonts w:ascii="黑体" w:eastAsia="黑体" w:hAnsi="黑体"/>
          <w:bCs/>
          <w:color w:val="333333"/>
          <w:sz w:val="32"/>
          <w:szCs w:val="32"/>
        </w:rPr>
        <w:t>农村集体经营性建设用地入市</w:t>
      </w:r>
      <w:r w:rsidRPr="00AD5C43">
        <w:rPr>
          <w:rFonts w:ascii="黑体" w:eastAsia="黑体" w:hAnsi="黑体" w:hint="eastAsia"/>
          <w:bCs/>
          <w:color w:val="333333"/>
          <w:sz w:val="32"/>
          <w:szCs w:val="32"/>
        </w:rPr>
        <w:t>管理办法</w:t>
      </w:r>
      <w:r w:rsidR="000B0AE3">
        <w:rPr>
          <w:rFonts w:ascii="黑体" w:eastAsia="黑体" w:hAnsi="黑体" w:hint="eastAsia"/>
          <w:bCs/>
          <w:color w:val="333333"/>
          <w:sz w:val="32"/>
          <w:szCs w:val="32"/>
        </w:rPr>
        <w:t>（试行）</w:t>
      </w:r>
      <w:r w:rsidRPr="00AD5C43">
        <w:rPr>
          <w:rFonts w:ascii="黑体" w:eastAsia="黑体" w:hAnsi="黑体"/>
          <w:bCs/>
          <w:color w:val="333333"/>
          <w:sz w:val="32"/>
          <w:szCs w:val="32"/>
        </w:rPr>
        <w:t>》起草说明</w:t>
      </w:r>
    </w:p>
    <w:p w:rsidR="00AE3F85" w:rsidRPr="00AD5C43" w:rsidRDefault="00AD5C43" w:rsidP="00AD5C43">
      <w:pPr>
        <w:pStyle w:val="a3"/>
        <w:shd w:val="clear" w:color="auto" w:fill="FFFFFF"/>
        <w:spacing w:before="0" w:beforeAutospacing="0" w:after="0" w:afterAutospacing="0" w:line="585" w:lineRule="atLeast"/>
        <w:ind w:firstLineChars="200" w:firstLine="640"/>
        <w:rPr>
          <w:rFonts w:ascii="仿宋_GB2312" w:eastAsia="仿宋_GB2312"/>
          <w:color w:val="333333"/>
          <w:sz w:val="21"/>
          <w:szCs w:val="21"/>
        </w:rPr>
      </w:pPr>
      <w:r w:rsidRPr="00AD5C43">
        <w:rPr>
          <w:rFonts w:ascii="仿宋_GB2312" w:eastAsia="仿宋_GB2312" w:hAnsi="黑体" w:cs="Times New Roman" w:hint="eastAsia"/>
          <w:color w:val="333333"/>
          <w:sz w:val="32"/>
          <w:szCs w:val="32"/>
        </w:rPr>
        <w:t>1、</w:t>
      </w:r>
      <w:r w:rsidR="00AE3F85" w:rsidRPr="00AD5C43">
        <w:rPr>
          <w:rFonts w:ascii="仿宋_GB2312" w:eastAsia="仿宋_GB2312" w:hAnsi="黑体" w:cs="Times New Roman" w:hint="eastAsia"/>
          <w:color w:val="333333"/>
          <w:sz w:val="32"/>
          <w:szCs w:val="32"/>
        </w:rPr>
        <w:t>起草背景</w:t>
      </w:r>
      <w:r w:rsidRPr="00AD5C43">
        <w:rPr>
          <w:rFonts w:ascii="仿宋_GB2312" w:eastAsia="仿宋_GB2312" w:hAnsi="黑体" w:cs="Times New Roman" w:hint="eastAsia"/>
          <w:color w:val="333333"/>
          <w:sz w:val="32"/>
          <w:szCs w:val="32"/>
        </w:rPr>
        <w:t>。</w:t>
      </w:r>
      <w:r w:rsidR="00AE3F85" w:rsidRPr="00AD5C43">
        <w:rPr>
          <w:rFonts w:ascii="仿宋_GB2312" w:eastAsia="仿宋_GB2312" w:hint="eastAsia"/>
          <w:color w:val="333333"/>
          <w:sz w:val="32"/>
          <w:szCs w:val="32"/>
        </w:rPr>
        <w:t>为深入贯彻落实《中共中央办公厅国务院办公厅关于深化农村集体经营性建设用地入市试点工作的意见》和《自然资源部办公厅关于印发深化农村集体经营性建设用地入市试点工作方案的通知》等有关要求，进一步规范农村集体经营性建设用地入市行为，构建城乡统一的建设用地市场，保障农民合法权益，现就</w:t>
      </w:r>
      <w:r w:rsidR="00271EA1" w:rsidRPr="00AD5C43">
        <w:rPr>
          <w:rFonts w:ascii="仿宋_GB2312" w:eastAsia="仿宋_GB2312" w:hint="eastAsia"/>
          <w:color w:val="333333"/>
          <w:sz w:val="32"/>
          <w:szCs w:val="32"/>
        </w:rPr>
        <w:t>瓦房店市</w:t>
      </w:r>
      <w:r w:rsidR="00AE3F85" w:rsidRPr="00AD5C43">
        <w:rPr>
          <w:rFonts w:ascii="仿宋_GB2312" w:eastAsia="仿宋_GB2312" w:hint="eastAsia"/>
          <w:color w:val="333333"/>
          <w:sz w:val="32"/>
          <w:szCs w:val="32"/>
        </w:rPr>
        <w:t>开展农村集体经营性建设用地入市试点工作，制订本</w:t>
      </w:r>
      <w:r w:rsidR="00271EA1" w:rsidRPr="00AD5C43">
        <w:rPr>
          <w:rFonts w:ascii="仿宋_GB2312" w:eastAsia="仿宋_GB2312" w:hint="eastAsia"/>
          <w:color w:val="333333"/>
          <w:sz w:val="32"/>
          <w:szCs w:val="32"/>
        </w:rPr>
        <w:t>管理办法</w:t>
      </w:r>
      <w:r w:rsidR="00AE3F85" w:rsidRPr="00AD5C43">
        <w:rPr>
          <w:rFonts w:ascii="仿宋_GB2312" w:eastAsia="仿宋_GB2312" w:hint="eastAsia"/>
          <w:color w:val="333333"/>
          <w:sz w:val="32"/>
          <w:szCs w:val="32"/>
        </w:rPr>
        <w:t>。</w:t>
      </w:r>
    </w:p>
    <w:p w:rsidR="00AE3F85" w:rsidRPr="00AD5C43" w:rsidRDefault="00AD5C43" w:rsidP="00AD5C43">
      <w:pPr>
        <w:pStyle w:val="a3"/>
        <w:shd w:val="clear" w:color="auto" w:fill="FFFFFF"/>
        <w:spacing w:before="0" w:beforeAutospacing="0" w:after="0" w:afterAutospacing="0" w:line="585" w:lineRule="atLeast"/>
        <w:ind w:firstLine="645"/>
        <w:rPr>
          <w:rFonts w:ascii="仿宋_GB2312" w:eastAsia="仿宋_GB2312"/>
          <w:color w:val="333333"/>
          <w:sz w:val="21"/>
          <w:szCs w:val="21"/>
        </w:rPr>
      </w:pPr>
      <w:r w:rsidRPr="00AD5C43">
        <w:rPr>
          <w:rFonts w:ascii="仿宋_GB2312" w:eastAsia="仿宋_GB2312" w:hAnsi="黑体" w:cs="Times New Roman" w:hint="eastAsia"/>
          <w:color w:val="333333"/>
          <w:sz w:val="32"/>
          <w:szCs w:val="32"/>
        </w:rPr>
        <w:t>2、</w:t>
      </w:r>
      <w:r w:rsidR="00AE3F85" w:rsidRPr="00AD5C43">
        <w:rPr>
          <w:rFonts w:ascii="仿宋_GB2312" w:eastAsia="仿宋_GB2312" w:hAnsi="黑体" w:cs="Times New Roman" w:hint="eastAsia"/>
          <w:color w:val="333333"/>
          <w:sz w:val="32"/>
          <w:szCs w:val="32"/>
        </w:rPr>
        <w:t>起草依据</w:t>
      </w:r>
      <w:r w:rsidRPr="00AD5C43">
        <w:rPr>
          <w:rFonts w:ascii="仿宋_GB2312" w:eastAsia="仿宋_GB2312" w:hAnsi="黑体" w:cs="Times New Roman" w:hint="eastAsia"/>
          <w:color w:val="333333"/>
          <w:sz w:val="32"/>
          <w:szCs w:val="32"/>
        </w:rPr>
        <w:t>。</w:t>
      </w:r>
      <w:r w:rsidR="00AE3F85" w:rsidRPr="00AD5C43">
        <w:rPr>
          <w:rFonts w:ascii="仿宋_GB2312" w:eastAsia="仿宋_GB2312" w:hAnsi="Times New Roman" w:cs="Times New Roman" w:hint="eastAsia"/>
          <w:color w:val="333333"/>
          <w:sz w:val="32"/>
          <w:szCs w:val="32"/>
        </w:rPr>
        <w:t>1</w:t>
      </w:r>
      <w:r w:rsidR="00AE3F85" w:rsidRPr="00AD5C43">
        <w:rPr>
          <w:rFonts w:ascii="仿宋_GB2312" w:eastAsia="仿宋_GB2312" w:hint="eastAsia"/>
          <w:color w:val="333333"/>
          <w:sz w:val="32"/>
          <w:szCs w:val="32"/>
        </w:rPr>
        <w:t>．《中华人民共和国土地管理法》（</w:t>
      </w:r>
      <w:r w:rsidR="00AE3F85" w:rsidRPr="00AD5C43">
        <w:rPr>
          <w:rFonts w:ascii="仿宋_GB2312" w:eastAsia="仿宋_GB2312" w:hAnsi="Times New Roman" w:cs="Times New Roman" w:hint="eastAsia"/>
          <w:color w:val="333333"/>
          <w:sz w:val="32"/>
          <w:szCs w:val="32"/>
        </w:rPr>
        <w:t>2019</w:t>
      </w:r>
      <w:r w:rsidR="00AE3F85" w:rsidRPr="00AD5C43">
        <w:rPr>
          <w:rFonts w:ascii="Times New Roman" w:eastAsia="仿宋_GB2312" w:hAnsi="Times New Roman" w:cs="Times New Roman" w:hint="eastAsia"/>
          <w:color w:val="333333"/>
          <w:sz w:val="32"/>
          <w:szCs w:val="32"/>
        </w:rPr>
        <w:t> </w:t>
      </w:r>
      <w:r w:rsidR="00AE3F85" w:rsidRPr="00AD5C43">
        <w:rPr>
          <w:rFonts w:ascii="仿宋_GB2312" w:eastAsia="仿宋_GB2312" w:hint="eastAsia"/>
          <w:color w:val="333333"/>
          <w:sz w:val="32"/>
          <w:szCs w:val="32"/>
        </w:rPr>
        <w:t>年</w:t>
      </w:r>
      <w:r w:rsidR="00AE3F85" w:rsidRPr="00AD5C43">
        <w:rPr>
          <w:rFonts w:ascii="仿宋_GB2312" w:eastAsia="仿宋_GB2312" w:hAnsi="Times New Roman" w:cs="Times New Roman" w:hint="eastAsia"/>
          <w:color w:val="333333"/>
          <w:sz w:val="32"/>
          <w:szCs w:val="32"/>
        </w:rPr>
        <w:t>8</w:t>
      </w:r>
      <w:r w:rsidR="00AE3F85" w:rsidRPr="00AD5C43">
        <w:rPr>
          <w:rFonts w:ascii="Times New Roman" w:eastAsia="仿宋_GB2312" w:hAnsi="Times New Roman" w:cs="Times New Roman" w:hint="eastAsia"/>
          <w:color w:val="333333"/>
          <w:sz w:val="32"/>
          <w:szCs w:val="32"/>
        </w:rPr>
        <w:t> </w:t>
      </w:r>
      <w:r w:rsidR="00AE3F85" w:rsidRPr="00AD5C43">
        <w:rPr>
          <w:rFonts w:ascii="仿宋_GB2312" w:eastAsia="仿宋_GB2312" w:hint="eastAsia"/>
          <w:color w:val="333333"/>
          <w:sz w:val="32"/>
          <w:szCs w:val="32"/>
        </w:rPr>
        <w:t>月</w:t>
      </w:r>
      <w:r w:rsidR="00AE3F85" w:rsidRPr="00AD5C43">
        <w:rPr>
          <w:rFonts w:ascii="仿宋_GB2312" w:eastAsia="仿宋_GB2312" w:hAnsi="Times New Roman" w:cs="Times New Roman" w:hint="eastAsia"/>
          <w:color w:val="333333"/>
          <w:sz w:val="32"/>
          <w:szCs w:val="32"/>
        </w:rPr>
        <w:t>26</w:t>
      </w:r>
      <w:r w:rsidR="00AE3F85" w:rsidRPr="00AD5C43">
        <w:rPr>
          <w:rFonts w:ascii="Times New Roman" w:eastAsia="仿宋_GB2312" w:hAnsi="Times New Roman" w:cs="Times New Roman" w:hint="eastAsia"/>
          <w:color w:val="333333"/>
          <w:sz w:val="32"/>
          <w:szCs w:val="32"/>
        </w:rPr>
        <w:t> </w:t>
      </w:r>
      <w:r w:rsidR="00AE3F85" w:rsidRPr="00AD5C43">
        <w:rPr>
          <w:rFonts w:ascii="仿宋_GB2312" w:eastAsia="仿宋_GB2312" w:hint="eastAsia"/>
          <w:color w:val="333333"/>
          <w:sz w:val="32"/>
          <w:szCs w:val="32"/>
        </w:rPr>
        <w:t>日第十三届全国人民代表大会常务委员会十二次会议通过）；</w:t>
      </w:r>
      <w:r w:rsidR="00AE3F85" w:rsidRPr="00AD5C43">
        <w:rPr>
          <w:rFonts w:ascii="仿宋_GB2312" w:eastAsia="仿宋_GB2312" w:hAnsi="Times New Roman" w:cs="Times New Roman" w:hint="eastAsia"/>
          <w:color w:val="333333"/>
          <w:sz w:val="32"/>
          <w:szCs w:val="32"/>
        </w:rPr>
        <w:t>2</w:t>
      </w:r>
      <w:r w:rsidR="00AE3F85" w:rsidRPr="00AD5C43">
        <w:rPr>
          <w:rFonts w:ascii="仿宋_GB2312" w:eastAsia="仿宋_GB2312" w:hint="eastAsia"/>
          <w:color w:val="333333"/>
          <w:sz w:val="32"/>
          <w:szCs w:val="32"/>
        </w:rPr>
        <w:t>．《中华人民共和国土地管理法实施条例》（</w:t>
      </w:r>
      <w:r w:rsidR="00AE3F85" w:rsidRPr="00AD5C43">
        <w:rPr>
          <w:rFonts w:ascii="仿宋_GB2312" w:eastAsia="仿宋_GB2312" w:hAnsi="Times New Roman" w:cs="Times New Roman" w:hint="eastAsia"/>
          <w:color w:val="333333"/>
          <w:sz w:val="32"/>
          <w:szCs w:val="32"/>
        </w:rPr>
        <w:t>2021</w:t>
      </w:r>
      <w:r w:rsidR="00AE3F85" w:rsidRPr="00AD5C43">
        <w:rPr>
          <w:rFonts w:ascii="Times New Roman" w:eastAsia="仿宋_GB2312" w:hAnsi="Times New Roman" w:cs="Times New Roman" w:hint="eastAsia"/>
          <w:color w:val="333333"/>
          <w:sz w:val="32"/>
          <w:szCs w:val="32"/>
        </w:rPr>
        <w:t> </w:t>
      </w:r>
      <w:r w:rsidR="00AE3F85" w:rsidRPr="00AD5C43">
        <w:rPr>
          <w:rFonts w:ascii="仿宋_GB2312" w:eastAsia="仿宋_GB2312" w:hint="eastAsia"/>
          <w:color w:val="333333"/>
          <w:sz w:val="32"/>
          <w:szCs w:val="32"/>
        </w:rPr>
        <w:t>年</w:t>
      </w:r>
      <w:r w:rsidR="00AE3F85" w:rsidRPr="00AD5C43">
        <w:rPr>
          <w:rFonts w:ascii="仿宋_GB2312" w:eastAsia="仿宋_GB2312" w:hAnsi="Times New Roman" w:cs="Times New Roman" w:hint="eastAsia"/>
          <w:color w:val="333333"/>
          <w:sz w:val="32"/>
          <w:szCs w:val="32"/>
        </w:rPr>
        <w:t>4</w:t>
      </w:r>
      <w:r w:rsidR="00AE3F85" w:rsidRPr="00AD5C43">
        <w:rPr>
          <w:rFonts w:ascii="Times New Roman" w:eastAsia="仿宋_GB2312" w:hAnsi="Times New Roman" w:cs="Times New Roman" w:hint="eastAsia"/>
          <w:color w:val="333333"/>
          <w:sz w:val="32"/>
          <w:szCs w:val="32"/>
        </w:rPr>
        <w:t> </w:t>
      </w:r>
      <w:r w:rsidR="00AE3F85" w:rsidRPr="00AD5C43">
        <w:rPr>
          <w:rFonts w:ascii="仿宋_GB2312" w:eastAsia="仿宋_GB2312" w:hint="eastAsia"/>
          <w:color w:val="333333"/>
          <w:sz w:val="32"/>
          <w:szCs w:val="32"/>
        </w:rPr>
        <w:t>月</w:t>
      </w:r>
      <w:r w:rsidR="00AE3F85" w:rsidRPr="00AD5C43">
        <w:rPr>
          <w:rFonts w:ascii="仿宋_GB2312" w:eastAsia="仿宋_GB2312" w:hAnsi="Times New Roman" w:cs="Times New Roman" w:hint="eastAsia"/>
          <w:color w:val="333333"/>
          <w:sz w:val="32"/>
          <w:szCs w:val="32"/>
        </w:rPr>
        <w:t>21</w:t>
      </w:r>
      <w:r w:rsidR="00AE3F85" w:rsidRPr="00AD5C43">
        <w:rPr>
          <w:rFonts w:ascii="仿宋_GB2312" w:eastAsia="仿宋_GB2312" w:hint="eastAsia"/>
          <w:color w:val="333333"/>
          <w:sz w:val="32"/>
          <w:szCs w:val="32"/>
        </w:rPr>
        <w:t>日国务院第</w:t>
      </w:r>
      <w:r w:rsidR="00AE3F85" w:rsidRPr="00AD5C43">
        <w:rPr>
          <w:rFonts w:ascii="仿宋_GB2312" w:eastAsia="仿宋_GB2312" w:hint="eastAsia"/>
          <w:color w:val="333333"/>
          <w:sz w:val="32"/>
          <w:szCs w:val="32"/>
        </w:rPr>
        <w:t> </w:t>
      </w:r>
      <w:r w:rsidR="00AE3F85" w:rsidRPr="00AD5C43">
        <w:rPr>
          <w:rFonts w:ascii="仿宋_GB2312" w:eastAsia="仿宋_GB2312" w:hAnsi="Times New Roman" w:cs="Times New Roman" w:hint="eastAsia"/>
          <w:color w:val="333333"/>
          <w:sz w:val="32"/>
          <w:szCs w:val="32"/>
        </w:rPr>
        <w:t>132</w:t>
      </w:r>
      <w:r w:rsidR="00AE3F85" w:rsidRPr="00AD5C43">
        <w:rPr>
          <w:rFonts w:ascii="Times New Roman" w:eastAsia="仿宋_GB2312" w:hAnsi="Times New Roman" w:cs="Times New Roman" w:hint="eastAsia"/>
          <w:color w:val="333333"/>
          <w:sz w:val="32"/>
          <w:szCs w:val="32"/>
        </w:rPr>
        <w:t> </w:t>
      </w:r>
      <w:r w:rsidR="00AE3F85" w:rsidRPr="00AD5C43">
        <w:rPr>
          <w:rFonts w:ascii="仿宋_GB2312" w:eastAsia="仿宋_GB2312" w:hint="eastAsia"/>
          <w:color w:val="333333"/>
          <w:sz w:val="32"/>
          <w:szCs w:val="32"/>
        </w:rPr>
        <w:t>次常务会议修订通过）；</w:t>
      </w:r>
      <w:r w:rsidR="00AE3F85" w:rsidRPr="00AD5C43">
        <w:rPr>
          <w:rFonts w:ascii="仿宋_GB2312" w:eastAsia="仿宋_GB2312" w:hAnsi="Times New Roman" w:cs="Times New Roman" w:hint="eastAsia"/>
          <w:color w:val="333333"/>
          <w:sz w:val="32"/>
          <w:szCs w:val="32"/>
        </w:rPr>
        <w:t>3</w:t>
      </w:r>
      <w:r w:rsidR="00AE3F85" w:rsidRPr="00AD5C43">
        <w:rPr>
          <w:rFonts w:ascii="仿宋_GB2312" w:eastAsia="仿宋_GB2312" w:hint="eastAsia"/>
          <w:color w:val="333333"/>
          <w:sz w:val="32"/>
          <w:szCs w:val="32"/>
        </w:rPr>
        <w:t>．</w:t>
      </w:r>
      <w:r w:rsidR="00E94513" w:rsidRPr="00AD5C43">
        <w:rPr>
          <w:rFonts w:ascii="仿宋_GB2312" w:eastAsia="仿宋_GB2312" w:hint="eastAsia"/>
          <w:sz w:val="32"/>
          <w:szCs w:val="32"/>
        </w:rPr>
        <w:t>辽宁省实施《中华人民共和国土地管理法》办法(2021年11月26日辽宁省第十三届人民代表大会常务委员会第三十次会议通过)</w:t>
      </w:r>
      <w:r w:rsidR="00AE3F85" w:rsidRPr="00AD5C43">
        <w:rPr>
          <w:rFonts w:ascii="仿宋_GB2312" w:eastAsia="仿宋_GB2312" w:hint="eastAsia"/>
          <w:color w:val="333333"/>
          <w:sz w:val="32"/>
          <w:szCs w:val="32"/>
        </w:rPr>
        <w:t>；</w:t>
      </w:r>
      <w:r w:rsidR="00AE3F85" w:rsidRPr="00AD5C43">
        <w:rPr>
          <w:rFonts w:ascii="仿宋_GB2312" w:eastAsia="仿宋_GB2312" w:hAnsi="Times New Roman" w:cs="Times New Roman" w:hint="eastAsia"/>
          <w:color w:val="333333"/>
          <w:sz w:val="32"/>
          <w:szCs w:val="32"/>
        </w:rPr>
        <w:t>4.</w:t>
      </w:r>
      <w:r w:rsidR="00AE3F85" w:rsidRPr="00AD5C43">
        <w:rPr>
          <w:rFonts w:ascii="仿宋_GB2312" w:eastAsia="仿宋_GB2312" w:hint="eastAsia"/>
          <w:color w:val="333333"/>
          <w:sz w:val="32"/>
          <w:szCs w:val="32"/>
        </w:rPr>
        <w:t>自然资源部办公厅关于印发《深化农村集体经营性建设用地入市试点工作方案》的通知（自然资办函〔</w:t>
      </w:r>
      <w:r w:rsidR="00AE3F85" w:rsidRPr="00AD5C43">
        <w:rPr>
          <w:rFonts w:ascii="仿宋_GB2312" w:eastAsia="仿宋_GB2312" w:hAnsi="Times New Roman" w:cs="Times New Roman" w:hint="eastAsia"/>
          <w:color w:val="333333"/>
          <w:sz w:val="32"/>
          <w:szCs w:val="32"/>
        </w:rPr>
        <w:t>2023</w:t>
      </w:r>
      <w:r w:rsidR="00AE3F85" w:rsidRPr="00AD5C43">
        <w:rPr>
          <w:rFonts w:ascii="仿宋_GB2312" w:eastAsia="仿宋_GB2312" w:hint="eastAsia"/>
          <w:color w:val="333333"/>
          <w:sz w:val="32"/>
          <w:szCs w:val="32"/>
        </w:rPr>
        <w:t>〕</w:t>
      </w:r>
      <w:r w:rsidR="00AE3F85" w:rsidRPr="00AD5C43">
        <w:rPr>
          <w:rFonts w:ascii="仿宋_GB2312" w:eastAsia="仿宋_GB2312" w:hAnsi="Times New Roman" w:cs="Times New Roman" w:hint="eastAsia"/>
          <w:color w:val="333333"/>
          <w:sz w:val="32"/>
          <w:szCs w:val="32"/>
        </w:rPr>
        <w:t>364</w:t>
      </w:r>
      <w:r w:rsidR="00AE3F85" w:rsidRPr="00AD5C43">
        <w:rPr>
          <w:rFonts w:ascii="仿宋_GB2312" w:eastAsia="仿宋_GB2312" w:hint="eastAsia"/>
          <w:color w:val="333333"/>
          <w:sz w:val="32"/>
          <w:szCs w:val="32"/>
        </w:rPr>
        <w:t>号）；</w:t>
      </w:r>
      <w:r w:rsidR="00AE3F85" w:rsidRPr="00AD5C43">
        <w:rPr>
          <w:rFonts w:ascii="仿宋_GB2312" w:eastAsia="仿宋_GB2312" w:hAnsi="Times New Roman" w:cs="Times New Roman" w:hint="eastAsia"/>
          <w:color w:val="333333"/>
          <w:sz w:val="32"/>
          <w:szCs w:val="32"/>
        </w:rPr>
        <w:t>5.</w:t>
      </w:r>
      <w:r w:rsidR="00AE3F85" w:rsidRPr="00AD5C43">
        <w:rPr>
          <w:rFonts w:ascii="仿宋_GB2312" w:eastAsia="仿宋_GB2312" w:hint="eastAsia"/>
          <w:color w:val="333333"/>
          <w:sz w:val="32"/>
          <w:szCs w:val="32"/>
        </w:rPr>
        <w:t>自然资源部办公厅国家市场监督管理总局办公厅关于印发《集体经营性建设用地使用权出让合同》《集体</w:t>
      </w:r>
      <w:r w:rsidR="00AE3F85" w:rsidRPr="00AD5C43">
        <w:rPr>
          <w:rFonts w:ascii="仿宋_GB2312" w:eastAsia="仿宋_GB2312" w:hint="eastAsia"/>
          <w:color w:val="333333"/>
          <w:sz w:val="32"/>
          <w:szCs w:val="32"/>
        </w:rPr>
        <w:lastRenderedPageBreak/>
        <w:t>经营性建设用地使用权出让监管协议〉示范文本（试点试行）的通知</w:t>
      </w:r>
      <w:r w:rsidR="00AE3F85" w:rsidRPr="00AD5C43">
        <w:rPr>
          <w:rFonts w:ascii="仿宋_GB2312" w:eastAsia="仿宋_GB2312" w:hAnsi="Times New Roman" w:cs="Times New Roman" w:hint="eastAsia"/>
          <w:color w:val="333333"/>
          <w:sz w:val="32"/>
          <w:szCs w:val="32"/>
        </w:rPr>
        <w:t>(</w:t>
      </w:r>
      <w:r w:rsidR="00AE3F85" w:rsidRPr="00AD5C43">
        <w:rPr>
          <w:rFonts w:ascii="仿宋_GB2312" w:eastAsia="仿宋_GB2312" w:hint="eastAsia"/>
          <w:color w:val="333333"/>
          <w:sz w:val="32"/>
          <w:szCs w:val="32"/>
        </w:rPr>
        <w:t>自然资办发〔</w:t>
      </w:r>
      <w:r w:rsidR="00AE3F85" w:rsidRPr="00AD5C43">
        <w:rPr>
          <w:rFonts w:ascii="仿宋_GB2312" w:eastAsia="仿宋_GB2312" w:hAnsi="Times New Roman" w:cs="Times New Roman" w:hint="eastAsia"/>
          <w:color w:val="333333"/>
          <w:sz w:val="32"/>
          <w:szCs w:val="32"/>
        </w:rPr>
        <w:t>2023</w:t>
      </w:r>
      <w:r w:rsidR="00AE3F85" w:rsidRPr="00AD5C43">
        <w:rPr>
          <w:rFonts w:ascii="仿宋_GB2312" w:eastAsia="仿宋_GB2312" w:hint="eastAsia"/>
          <w:color w:val="333333"/>
          <w:sz w:val="32"/>
          <w:szCs w:val="32"/>
        </w:rPr>
        <w:t>〕</w:t>
      </w:r>
      <w:r w:rsidR="00AE3F85" w:rsidRPr="00AD5C43">
        <w:rPr>
          <w:rFonts w:ascii="仿宋_GB2312" w:eastAsia="仿宋_GB2312" w:hAnsi="Times New Roman" w:cs="Times New Roman" w:hint="eastAsia"/>
          <w:color w:val="333333"/>
          <w:sz w:val="32"/>
          <w:szCs w:val="32"/>
        </w:rPr>
        <w:t>9</w:t>
      </w:r>
      <w:r w:rsidR="00AE3F85" w:rsidRPr="00AD5C43">
        <w:rPr>
          <w:rFonts w:ascii="仿宋_GB2312" w:eastAsia="仿宋_GB2312" w:hint="eastAsia"/>
          <w:color w:val="333333"/>
          <w:sz w:val="32"/>
          <w:szCs w:val="32"/>
        </w:rPr>
        <w:t>号</w:t>
      </w:r>
      <w:r w:rsidR="00AE3F85" w:rsidRPr="00AD5C43">
        <w:rPr>
          <w:rFonts w:ascii="仿宋_GB2312" w:eastAsia="仿宋_GB2312" w:hAnsi="Times New Roman" w:cs="Times New Roman" w:hint="eastAsia"/>
          <w:color w:val="333333"/>
          <w:sz w:val="32"/>
          <w:szCs w:val="32"/>
        </w:rPr>
        <w:t>)</w:t>
      </w:r>
      <w:r w:rsidR="00AE3F85" w:rsidRPr="00AD5C43">
        <w:rPr>
          <w:rFonts w:ascii="仿宋_GB2312" w:eastAsia="仿宋_GB2312" w:hint="eastAsia"/>
          <w:color w:val="333333"/>
          <w:sz w:val="32"/>
          <w:szCs w:val="32"/>
        </w:rPr>
        <w:t>。</w:t>
      </w:r>
    </w:p>
    <w:p w:rsidR="00AE3F85" w:rsidRPr="00AD5C43" w:rsidRDefault="00AD5C43" w:rsidP="00AD5C43">
      <w:pPr>
        <w:pStyle w:val="a3"/>
        <w:shd w:val="clear" w:color="auto" w:fill="FFFFFF"/>
        <w:spacing w:before="0" w:beforeAutospacing="0" w:after="0" w:afterAutospacing="0" w:line="585" w:lineRule="atLeast"/>
        <w:ind w:firstLine="645"/>
        <w:rPr>
          <w:rFonts w:ascii="仿宋_GB2312" w:eastAsia="仿宋_GB2312"/>
          <w:color w:val="333333"/>
          <w:sz w:val="21"/>
          <w:szCs w:val="21"/>
        </w:rPr>
      </w:pPr>
      <w:r w:rsidRPr="00AD5C43">
        <w:rPr>
          <w:rFonts w:ascii="仿宋_GB2312" w:eastAsia="仿宋_GB2312" w:hAnsi="黑体" w:hint="eastAsia"/>
          <w:color w:val="333333"/>
          <w:sz w:val="32"/>
          <w:szCs w:val="32"/>
        </w:rPr>
        <w:t>3</w:t>
      </w:r>
      <w:r w:rsidR="00AE3F85" w:rsidRPr="00AD5C43">
        <w:rPr>
          <w:rFonts w:ascii="仿宋_GB2312" w:eastAsia="仿宋_GB2312" w:hAnsi="黑体" w:cs="Times New Roman" w:hint="eastAsia"/>
          <w:color w:val="333333"/>
          <w:sz w:val="32"/>
          <w:szCs w:val="32"/>
        </w:rPr>
        <w:t>、起草原则</w:t>
      </w:r>
      <w:r w:rsidRPr="00AD5C43">
        <w:rPr>
          <w:rFonts w:ascii="仿宋_GB2312" w:eastAsia="仿宋_GB2312" w:hAnsi="黑体" w:cs="Times New Roman" w:hint="eastAsia"/>
          <w:color w:val="333333"/>
          <w:sz w:val="32"/>
          <w:szCs w:val="32"/>
        </w:rPr>
        <w:t>。</w:t>
      </w:r>
      <w:r w:rsidR="00AE3F85" w:rsidRPr="00AD5C43">
        <w:rPr>
          <w:rFonts w:ascii="仿宋_GB2312" w:eastAsia="仿宋_GB2312" w:hint="eastAsia"/>
          <w:color w:val="333333"/>
          <w:sz w:val="32"/>
          <w:szCs w:val="32"/>
        </w:rPr>
        <w:t>农村集体经营性建设用地入市试点政策主要根据中央、省市政策要求并考虑县域实际，在整个政策制订过程中严格按照“依法依规、维权维稳”工作原则，既要严格遵守中央、省市</w:t>
      </w:r>
      <w:r w:rsidR="00E94513" w:rsidRPr="00AD5C43">
        <w:rPr>
          <w:rFonts w:ascii="仿宋_GB2312" w:eastAsia="仿宋_GB2312" w:hint="eastAsia"/>
          <w:color w:val="333333"/>
          <w:sz w:val="32"/>
          <w:szCs w:val="32"/>
        </w:rPr>
        <w:t>的政策底线，也要充分衔接乡镇实际情况，在此基础上，制定了《瓦房店市</w:t>
      </w:r>
      <w:r w:rsidR="00AE3F85" w:rsidRPr="00AD5C43">
        <w:rPr>
          <w:rFonts w:ascii="仿宋_GB2312" w:eastAsia="仿宋_GB2312" w:hint="eastAsia"/>
          <w:color w:val="333333"/>
          <w:sz w:val="32"/>
          <w:szCs w:val="32"/>
        </w:rPr>
        <w:t>农村集体经营性建设用地入市试点</w:t>
      </w:r>
      <w:r w:rsidR="00E94513" w:rsidRPr="00AD5C43">
        <w:rPr>
          <w:rFonts w:ascii="仿宋_GB2312" w:eastAsia="仿宋_GB2312" w:hint="eastAsia"/>
          <w:color w:val="333333"/>
          <w:sz w:val="32"/>
          <w:szCs w:val="32"/>
        </w:rPr>
        <w:t>管理办法</w:t>
      </w:r>
      <w:r w:rsidR="00AE3F85" w:rsidRPr="00AD5C43">
        <w:rPr>
          <w:rFonts w:ascii="仿宋_GB2312" w:eastAsia="仿宋_GB2312" w:hint="eastAsia"/>
          <w:color w:val="333333"/>
          <w:sz w:val="32"/>
          <w:szCs w:val="32"/>
        </w:rPr>
        <w:t>》，并及时总结完善试点经验，逐步构建城乡统一的农村集体经营性建设用地入市规则体系，形成可复制、可借鉴、可推广的</w:t>
      </w:r>
      <w:r w:rsidR="00D64030" w:rsidRPr="00AD5C43">
        <w:rPr>
          <w:rFonts w:ascii="仿宋_GB2312" w:eastAsia="仿宋_GB2312" w:hint="eastAsia"/>
          <w:color w:val="333333"/>
          <w:sz w:val="32"/>
          <w:szCs w:val="32"/>
        </w:rPr>
        <w:t>经验和模式，为中央全面开展农村集体经营性建设用地入市工作提供瓦房店市</w:t>
      </w:r>
      <w:bookmarkStart w:id="0" w:name="_GoBack"/>
      <w:bookmarkEnd w:id="0"/>
      <w:r w:rsidR="00AE3F85" w:rsidRPr="00AD5C43">
        <w:rPr>
          <w:rFonts w:ascii="仿宋_GB2312" w:eastAsia="仿宋_GB2312" w:hint="eastAsia"/>
          <w:color w:val="333333"/>
          <w:sz w:val="32"/>
          <w:szCs w:val="32"/>
        </w:rPr>
        <w:t>经验。</w:t>
      </w:r>
    </w:p>
    <w:p w:rsidR="00AE3F85" w:rsidRPr="00AD5C43" w:rsidRDefault="00AD5C43" w:rsidP="00AD5C43">
      <w:pPr>
        <w:pStyle w:val="a3"/>
        <w:shd w:val="clear" w:color="auto" w:fill="FFFFFF"/>
        <w:spacing w:before="0" w:beforeAutospacing="0" w:after="0" w:afterAutospacing="0" w:line="585" w:lineRule="atLeast"/>
        <w:ind w:firstLine="645"/>
        <w:rPr>
          <w:rFonts w:ascii="仿宋_GB2312" w:eastAsia="仿宋_GB2312"/>
          <w:color w:val="333333"/>
          <w:sz w:val="21"/>
          <w:szCs w:val="21"/>
        </w:rPr>
      </w:pPr>
      <w:r w:rsidRPr="00AD5C43">
        <w:rPr>
          <w:rFonts w:ascii="仿宋_GB2312" w:eastAsia="仿宋_GB2312" w:hAnsi="黑体" w:hint="eastAsia"/>
          <w:color w:val="333333"/>
          <w:sz w:val="32"/>
          <w:szCs w:val="32"/>
        </w:rPr>
        <w:t>4</w:t>
      </w:r>
      <w:r w:rsidR="00AE3F85" w:rsidRPr="00AD5C43">
        <w:rPr>
          <w:rFonts w:ascii="仿宋_GB2312" w:eastAsia="仿宋_GB2312" w:hAnsi="黑体" w:cs="Times New Roman" w:hint="eastAsia"/>
          <w:color w:val="333333"/>
          <w:sz w:val="32"/>
          <w:szCs w:val="32"/>
        </w:rPr>
        <w:t>、主要内容</w:t>
      </w:r>
      <w:r w:rsidRPr="00AD5C43">
        <w:rPr>
          <w:rFonts w:ascii="仿宋_GB2312" w:eastAsia="仿宋_GB2312" w:hAnsi="黑体" w:cs="Times New Roman" w:hint="eastAsia"/>
          <w:color w:val="333333"/>
          <w:sz w:val="32"/>
          <w:szCs w:val="32"/>
        </w:rPr>
        <w:t>.</w:t>
      </w:r>
      <w:r w:rsidR="00E94513" w:rsidRPr="00AD5C43">
        <w:rPr>
          <w:rFonts w:ascii="仿宋_GB2312" w:eastAsia="仿宋_GB2312" w:hint="eastAsia"/>
          <w:color w:val="333333"/>
          <w:sz w:val="32"/>
          <w:szCs w:val="32"/>
        </w:rPr>
        <w:t>《管理办法</w:t>
      </w:r>
      <w:r w:rsidR="00AE3F85" w:rsidRPr="00AD5C43">
        <w:rPr>
          <w:rFonts w:ascii="仿宋_GB2312" w:eastAsia="仿宋_GB2312" w:hint="eastAsia"/>
          <w:color w:val="333333"/>
          <w:sz w:val="32"/>
          <w:szCs w:val="32"/>
        </w:rPr>
        <w:t>》共</w:t>
      </w:r>
      <w:r w:rsidR="00A67EF4" w:rsidRPr="00AD5C43">
        <w:rPr>
          <w:rFonts w:ascii="仿宋_GB2312" w:eastAsia="仿宋_GB2312" w:hAnsi="Times New Roman" w:cs="Times New Roman" w:hint="eastAsia"/>
          <w:color w:val="333333"/>
          <w:sz w:val="32"/>
          <w:szCs w:val="32"/>
        </w:rPr>
        <w:t>11</w:t>
      </w:r>
      <w:r w:rsidR="00AE3F85" w:rsidRPr="00AD5C43">
        <w:rPr>
          <w:rFonts w:ascii="仿宋_GB2312" w:eastAsia="仿宋_GB2312" w:hint="eastAsia"/>
          <w:color w:val="333333"/>
          <w:sz w:val="32"/>
          <w:szCs w:val="32"/>
        </w:rPr>
        <w:t>章，分为工作</w:t>
      </w:r>
      <w:r w:rsidR="00A67EF4" w:rsidRPr="00AD5C43">
        <w:rPr>
          <w:rFonts w:ascii="仿宋_GB2312" w:eastAsia="仿宋_GB2312" w:hint="eastAsia"/>
          <w:color w:val="333333"/>
          <w:sz w:val="32"/>
          <w:szCs w:val="32"/>
        </w:rPr>
        <w:t>总则</w:t>
      </w:r>
      <w:r w:rsidR="00AE3F85" w:rsidRPr="00AD5C43">
        <w:rPr>
          <w:rFonts w:ascii="仿宋_GB2312" w:eastAsia="仿宋_GB2312" w:hint="eastAsia"/>
          <w:color w:val="333333"/>
          <w:sz w:val="32"/>
          <w:szCs w:val="32"/>
        </w:rPr>
        <w:t>、</w:t>
      </w:r>
      <w:r w:rsidR="00A67EF4" w:rsidRPr="00AD5C43">
        <w:rPr>
          <w:rFonts w:ascii="仿宋_GB2312" w:eastAsia="仿宋_GB2312" w:hint="eastAsia"/>
          <w:color w:val="333333"/>
          <w:sz w:val="32"/>
          <w:szCs w:val="32"/>
        </w:rPr>
        <w:t>入市条件和范围</w:t>
      </w:r>
      <w:r w:rsidR="00AE3F85" w:rsidRPr="00AD5C43">
        <w:rPr>
          <w:rFonts w:ascii="仿宋_GB2312" w:eastAsia="仿宋_GB2312" w:hint="eastAsia"/>
          <w:color w:val="333333"/>
          <w:sz w:val="32"/>
          <w:szCs w:val="32"/>
        </w:rPr>
        <w:t>、</w:t>
      </w:r>
      <w:r w:rsidR="00A67EF4" w:rsidRPr="00AD5C43">
        <w:rPr>
          <w:rFonts w:ascii="仿宋_GB2312" w:eastAsia="仿宋_GB2312" w:hint="eastAsia"/>
          <w:color w:val="333333"/>
          <w:sz w:val="32"/>
          <w:szCs w:val="32"/>
        </w:rPr>
        <w:t>入市主体和入市方式、入市程序、收益管理、增值收益调节金、入市净收益分配、交易规范、监督管理、法律责任、附责等11</w:t>
      </w:r>
      <w:r w:rsidR="00AE3F85" w:rsidRPr="00AD5C43">
        <w:rPr>
          <w:rFonts w:ascii="仿宋_GB2312" w:eastAsia="仿宋_GB2312" w:hint="eastAsia"/>
          <w:color w:val="333333"/>
          <w:sz w:val="32"/>
          <w:szCs w:val="32"/>
        </w:rPr>
        <w:t>个部分。</w:t>
      </w:r>
    </w:p>
    <w:p w:rsidR="00AE3F85" w:rsidRPr="00AD5C43" w:rsidRDefault="00AE3F85" w:rsidP="00AD5C43">
      <w:pPr>
        <w:pStyle w:val="a3"/>
        <w:shd w:val="clear" w:color="auto" w:fill="FFFFFF"/>
        <w:spacing w:before="0" w:beforeAutospacing="0" w:after="0" w:afterAutospacing="0" w:line="600" w:lineRule="atLeast"/>
        <w:ind w:firstLine="645"/>
        <w:jc w:val="both"/>
        <w:rPr>
          <w:rFonts w:ascii="仿宋_GB2312" w:eastAsia="仿宋_GB2312"/>
          <w:color w:val="333333"/>
          <w:sz w:val="21"/>
          <w:szCs w:val="21"/>
        </w:rPr>
      </w:pPr>
      <w:r w:rsidRPr="00AD5C43">
        <w:rPr>
          <w:rFonts w:ascii="仿宋_GB2312" w:eastAsia="仿宋_GB2312" w:hint="eastAsia"/>
          <w:color w:val="333333"/>
          <w:sz w:val="32"/>
          <w:szCs w:val="32"/>
        </w:rPr>
        <w:t>（一）工作目标。</w:t>
      </w:r>
    </w:p>
    <w:p w:rsidR="00AE3F85" w:rsidRPr="00AD5C43" w:rsidRDefault="00AE3F85" w:rsidP="00AD5C43">
      <w:pPr>
        <w:pStyle w:val="a3"/>
        <w:shd w:val="clear" w:color="auto" w:fill="FFFFFF"/>
        <w:spacing w:before="0" w:beforeAutospacing="0" w:after="0" w:afterAutospacing="0" w:line="600" w:lineRule="atLeast"/>
        <w:ind w:firstLine="645"/>
        <w:jc w:val="both"/>
        <w:rPr>
          <w:rFonts w:ascii="仿宋_GB2312" w:eastAsia="仿宋_GB2312"/>
          <w:color w:val="333333"/>
          <w:sz w:val="21"/>
          <w:szCs w:val="21"/>
        </w:rPr>
      </w:pPr>
      <w:r w:rsidRPr="00AD5C43">
        <w:rPr>
          <w:rFonts w:ascii="仿宋_GB2312" w:eastAsia="仿宋_GB2312" w:hint="eastAsia"/>
          <w:color w:val="333333"/>
          <w:sz w:val="32"/>
          <w:szCs w:val="32"/>
        </w:rPr>
        <w:t>通过开展农村集体经营性建设用地入市试点，充分调动村级组织管理农村土地的主动性、积极性和责任心，推动建立符合</w:t>
      </w:r>
      <w:r w:rsidR="00831B3E" w:rsidRPr="00AD5C43">
        <w:rPr>
          <w:rFonts w:ascii="仿宋_GB2312" w:eastAsia="仿宋_GB2312" w:hint="eastAsia"/>
          <w:color w:val="333333"/>
          <w:sz w:val="32"/>
          <w:szCs w:val="32"/>
        </w:rPr>
        <w:t>瓦房店</w:t>
      </w:r>
      <w:r w:rsidRPr="00AD5C43">
        <w:rPr>
          <w:rFonts w:ascii="仿宋_GB2312" w:eastAsia="仿宋_GB2312" w:hint="eastAsia"/>
          <w:color w:val="333333"/>
          <w:sz w:val="32"/>
          <w:szCs w:val="32"/>
        </w:rPr>
        <w:t>实际的农村集体经营性建设用地入市政策体系，加快农村土地布局优化、多规融合、节约集约利用，促进农民增收、农业增效和农村繁荣。</w:t>
      </w:r>
    </w:p>
    <w:p w:rsidR="00AE3F85" w:rsidRPr="00AD5C43" w:rsidRDefault="00AE3F85" w:rsidP="00AD5C43">
      <w:pPr>
        <w:pStyle w:val="a3"/>
        <w:shd w:val="clear" w:color="auto" w:fill="FFFFFF"/>
        <w:spacing w:before="0" w:beforeAutospacing="0" w:after="0" w:afterAutospacing="0" w:line="600" w:lineRule="atLeast"/>
        <w:ind w:firstLine="645"/>
        <w:jc w:val="both"/>
        <w:rPr>
          <w:rFonts w:ascii="仿宋_GB2312" w:eastAsia="仿宋_GB2312"/>
          <w:color w:val="333333"/>
          <w:sz w:val="21"/>
          <w:szCs w:val="21"/>
        </w:rPr>
      </w:pPr>
      <w:r w:rsidRPr="00AD5C43">
        <w:rPr>
          <w:rFonts w:ascii="仿宋_GB2312" w:eastAsia="仿宋_GB2312" w:hint="eastAsia"/>
          <w:color w:val="333333"/>
          <w:sz w:val="32"/>
          <w:szCs w:val="32"/>
        </w:rPr>
        <w:t>（二）主要内容。</w:t>
      </w:r>
    </w:p>
    <w:p w:rsidR="006D4EE0" w:rsidRPr="00AD5C43" w:rsidRDefault="00AE3F85" w:rsidP="00AD5C43">
      <w:pPr>
        <w:ind w:firstLineChars="200" w:firstLine="640"/>
        <w:rPr>
          <w:rFonts w:ascii="仿宋_GB2312" w:eastAsia="仿宋_GB2312"/>
          <w:color w:val="000000" w:themeColor="text1"/>
          <w:sz w:val="32"/>
          <w:szCs w:val="32"/>
        </w:rPr>
      </w:pPr>
      <w:r w:rsidRPr="00AD5C43">
        <w:rPr>
          <w:rFonts w:ascii="仿宋_GB2312" w:eastAsia="仿宋_GB2312" w:hint="eastAsia"/>
          <w:color w:val="333333"/>
          <w:sz w:val="32"/>
          <w:szCs w:val="32"/>
        </w:rPr>
        <w:lastRenderedPageBreak/>
        <w:t>1.</w:t>
      </w:r>
      <w:r w:rsidR="00831B3E" w:rsidRPr="00AD5C43">
        <w:rPr>
          <w:rFonts w:ascii="仿宋_GB2312" w:eastAsia="仿宋_GB2312" w:hint="eastAsia"/>
          <w:color w:val="333333"/>
          <w:sz w:val="32"/>
          <w:szCs w:val="32"/>
        </w:rPr>
        <w:t>在入市范围方面。瓦房店市</w:t>
      </w:r>
      <w:r w:rsidRPr="00AD5C43">
        <w:rPr>
          <w:rFonts w:ascii="仿宋_GB2312" w:eastAsia="仿宋_GB2312" w:hint="eastAsia"/>
          <w:color w:val="333333"/>
          <w:sz w:val="32"/>
          <w:szCs w:val="32"/>
        </w:rPr>
        <w:t>范围内国土空间规划（村庄规划）确定为工业、仓储、商服旅游用途的，且已办理集体土地所有权登记发证的农村存量建设用地，可以纳入入市交易范围。</w:t>
      </w:r>
      <w:r w:rsidR="006D4EE0" w:rsidRPr="00AD5C43">
        <w:rPr>
          <w:rFonts w:ascii="仿宋_GB2312" w:eastAsia="仿宋_GB2312" w:hAnsi="Times New Roman" w:cs="仿宋" w:hint="eastAsia"/>
          <w:bCs/>
          <w:sz w:val="32"/>
          <w:szCs w:val="32"/>
        </w:rPr>
        <w:t>对历史形成的零星分散的存量集体建设用地，可以在依据国土空间规划（村庄规划）统一开展国土空间综合整治，重新划分宗地并调整确定产权归属后，按照新的规划条件入市。</w:t>
      </w:r>
    </w:p>
    <w:p w:rsidR="006D4EE0" w:rsidRPr="00AD5C43" w:rsidRDefault="006D4EE0" w:rsidP="00AD5C43">
      <w:pPr>
        <w:ind w:firstLineChars="200" w:firstLine="640"/>
        <w:rPr>
          <w:rFonts w:ascii="仿宋_GB2312" w:eastAsia="仿宋_GB2312" w:hAnsi="宋体" w:cs="宋体"/>
          <w:color w:val="000000" w:themeColor="text1"/>
          <w:sz w:val="32"/>
          <w:szCs w:val="32"/>
        </w:rPr>
      </w:pPr>
      <w:r w:rsidRPr="00AD5C43">
        <w:rPr>
          <w:rFonts w:ascii="仿宋_GB2312" w:eastAsia="仿宋_GB2312" w:hAnsi="宋体" w:cs="宋体" w:hint="eastAsia"/>
          <w:color w:val="000000" w:themeColor="text1"/>
          <w:sz w:val="32"/>
          <w:szCs w:val="32"/>
        </w:rPr>
        <w:t>第二次土地变更调查现状已经是建设用地，但未办理农用地、未利用地转用手续的，在集体建设用地</w:t>
      </w:r>
      <w:r w:rsidRPr="00AD5C43">
        <w:rPr>
          <w:rFonts w:ascii="仿宋_GB2312" w:eastAsia="仿宋_GB2312" w:hAnsi="宋体" w:cs="宋体" w:hint="eastAsia"/>
          <w:sz w:val="32"/>
          <w:szCs w:val="32"/>
        </w:rPr>
        <w:t>入</w:t>
      </w:r>
      <w:r w:rsidRPr="00AD5C43">
        <w:rPr>
          <w:rFonts w:ascii="仿宋_GB2312" w:eastAsia="仿宋_GB2312" w:hAnsi="宋体" w:cs="宋体" w:hint="eastAsia"/>
          <w:color w:val="000000" w:themeColor="text1"/>
          <w:sz w:val="32"/>
          <w:szCs w:val="32"/>
        </w:rPr>
        <w:t>市前需依法办理农用地、未利用地转用审批手续。违法违规的问题要依法处罚、处置到位。</w:t>
      </w:r>
    </w:p>
    <w:p w:rsidR="00AE3F85" w:rsidRPr="00AD5C43" w:rsidRDefault="006D4EE0" w:rsidP="00AD5C43">
      <w:pPr>
        <w:ind w:firstLineChars="200" w:firstLine="640"/>
        <w:rPr>
          <w:rFonts w:ascii="仿宋_GB2312" w:eastAsia="仿宋_GB2312" w:hAnsi="宋体" w:cs="宋体"/>
          <w:color w:val="000000" w:themeColor="text1"/>
          <w:sz w:val="32"/>
          <w:szCs w:val="32"/>
        </w:rPr>
      </w:pPr>
      <w:r w:rsidRPr="00AD5C43">
        <w:rPr>
          <w:rFonts w:ascii="仿宋_GB2312" w:eastAsia="仿宋_GB2312" w:hAnsi="宋体" w:cs="宋体" w:hint="eastAsia"/>
          <w:color w:val="000000" w:themeColor="text1"/>
          <w:sz w:val="32"/>
          <w:szCs w:val="32"/>
        </w:rPr>
        <w:t>已经依法出租的农村集体经营性建设用地，由农村集体经济组织依据《中华人民共和国土地管理法》、《中华人民共和国民法典》、《中华人民共和国乡镇企业法》等法律法规对土地及房产等产权依法处理完毕后，才能申请入市。</w:t>
      </w:r>
    </w:p>
    <w:p w:rsidR="00AE3F85" w:rsidRPr="00AD5C43" w:rsidRDefault="00AE3F85" w:rsidP="00AD5C43">
      <w:pPr>
        <w:pStyle w:val="a3"/>
        <w:shd w:val="clear" w:color="auto" w:fill="FFFFFF"/>
        <w:spacing w:before="0" w:beforeAutospacing="0" w:after="0" w:afterAutospacing="0" w:line="600" w:lineRule="atLeast"/>
        <w:ind w:firstLine="645"/>
        <w:jc w:val="both"/>
        <w:rPr>
          <w:rFonts w:ascii="仿宋_GB2312" w:eastAsia="仿宋_GB2312"/>
          <w:color w:val="333333"/>
          <w:sz w:val="21"/>
          <w:szCs w:val="21"/>
        </w:rPr>
      </w:pPr>
      <w:r w:rsidRPr="00AD5C43">
        <w:rPr>
          <w:rFonts w:ascii="仿宋_GB2312" w:eastAsia="仿宋_GB2312" w:hint="eastAsia"/>
          <w:color w:val="333333"/>
          <w:sz w:val="32"/>
          <w:szCs w:val="32"/>
        </w:rPr>
        <w:t>2.在入市主体方面。农村集体经营性建设用地入市主体是享有农村集体经营性建设用地所有权的农村集体经济组织。</w:t>
      </w:r>
      <w:r w:rsidR="006D4EE0" w:rsidRPr="00AD5C43">
        <w:rPr>
          <w:rFonts w:ascii="仿宋_GB2312" w:eastAsia="仿宋_GB2312" w:hint="eastAsia"/>
          <w:color w:val="000000" w:themeColor="text1"/>
          <w:sz w:val="32"/>
          <w:szCs w:val="32"/>
        </w:rPr>
        <w:t>农村集体经营性建设用地的所有权人，依据不动产权属证书登载的所有权人确认。</w:t>
      </w:r>
    </w:p>
    <w:p w:rsidR="00AE3F85" w:rsidRPr="00AD5C43" w:rsidRDefault="00AE3F85" w:rsidP="00AD5C43">
      <w:pPr>
        <w:pStyle w:val="a3"/>
        <w:shd w:val="clear" w:color="auto" w:fill="FFFFFF"/>
        <w:spacing w:before="0" w:beforeAutospacing="0" w:after="0" w:afterAutospacing="0" w:line="600" w:lineRule="atLeast"/>
        <w:ind w:firstLine="645"/>
        <w:jc w:val="both"/>
        <w:rPr>
          <w:rFonts w:ascii="仿宋_GB2312" w:eastAsia="仿宋_GB2312"/>
          <w:color w:val="333333"/>
          <w:sz w:val="21"/>
          <w:szCs w:val="21"/>
        </w:rPr>
      </w:pPr>
      <w:r w:rsidRPr="00AD5C43">
        <w:rPr>
          <w:rFonts w:ascii="仿宋_GB2312" w:eastAsia="仿宋_GB2312" w:hint="eastAsia"/>
          <w:color w:val="333333"/>
          <w:sz w:val="32"/>
          <w:szCs w:val="32"/>
        </w:rPr>
        <w:t>3.在入市方式方面。农村集体经营性建设用地原则以出让方式入市，出让交易形式为招标、拍卖、挂牌。以出让方</w:t>
      </w:r>
      <w:r w:rsidRPr="00AD5C43">
        <w:rPr>
          <w:rFonts w:ascii="仿宋_GB2312" w:eastAsia="仿宋_GB2312" w:hint="eastAsia"/>
          <w:color w:val="333333"/>
          <w:sz w:val="32"/>
          <w:szCs w:val="32"/>
        </w:rPr>
        <w:lastRenderedPageBreak/>
        <w:t>式入市的，农村集体经营性建设用地使用权最高年限，参照国家规定的同类用途国有建设用地出让最高年限执行。</w:t>
      </w:r>
    </w:p>
    <w:p w:rsidR="00AE3F85" w:rsidRPr="00AD5C43" w:rsidRDefault="00AE3F85" w:rsidP="00AD5C43">
      <w:pPr>
        <w:pStyle w:val="a3"/>
        <w:shd w:val="clear" w:color="auto" w:fill="FFFFFF"/>
        <w:spacing w:before="0" w:beforeAutospacing="0" w:after="0" w:afterAutospacing="0" w:line="600" w:lineRule="atLeast"/>
        <w:ind w:firstLine="645"/>
        <w:jc w:val="both"/>
        <w:rPr>
          <w:rFonts w:ascii="仿宋_GB2312" w:eastAsia="仿宋_GB2312"/>
          <w:color w:val="333333"/>
          <w:sz w:val="21"/>
          <w:szCs w:val="21"/>
        </w:rPr>
      </w:pPr>
      <w:r w:rsidRPr="00AD5C43">
        <w:rPr>
          <w:rFonts w:ascii="仿宋_GB2312" w:eastAsia="仿宋_GB2312" w:hint="eastAsia"/>
          <w:color w:val="333333"/>
          <w:sz w:val="32"/>
          <w:szCs w:val="32"/>
        </w:rPr>
        <w:t>4.在入市程序方面。按照“召开村民会议、</w:t>
      </w:r>
      <w:r w:rsidR="006D4EE0" w:rsidRPr="00AD5C43">
        <w:rPr>
          <w:rFonts w:ascii="仿宋_GB2312" w:eastAsia="仿宋_GB2312" w:hint="eastAsia"/>
          <w:color w:val="333333"/>
          <w:sz w:val="32"/>
          <w:szCs w:val="32"/>
        </w:rPr>
        <w:t>编制入市方案、</w:t>
      </w:r>
      <w:r w:rsidRPr="00AD5C43">
        <w:rPr>
          <w:rFonts w:ascii="仿宋_GB2312" w:eastAsia="仿宋_GB2312" w:hint="eastAsia"/>
          <w:color w:val="333333"/>
          <w:sz w:val="32"/>
          <w:szCs w:val="32"/>
        </w:rPr>
        <w:t>形成入市决议、委托地价评估、乡镇部门联审、政府研究批准、地块挂牌出让、地块竞得成交、出让合同签订、相关税费缴纳、办理土地登记”等相关程序组织入市工作，在</w:t>
      </w:r>
      <w:r w:rsidR="006D4EE0" w:rsidRPr="00AD5C43">
        <w:rPr>
          <w:rFonts w:ascii="仿宋_GB2312" w:eastAsia="仿宋_GB2312" w:hint="eastAsia"/>
          <w:color w:val="333333"/>
          <w:sz w:val="32"/>
          <w:szCs w:val="32"/>
        </w:rPr>
        <w:t>入市方案编制</w:t>
      </w:r>
      <w:r w:rsidRPr="00AD5C43">
        <w:rPr>
          <w:rFonts w:ascii="仿宋_GB2312" w:eastAsia="仿宋_GB2312" w:hint="eastAsia"/>
          <w:color w:val="333333"/>
          <w:sz w:val="32"/>
          <w:szCs w:val="32"/>
        </w:rPr>
        <w:t>讨论会议上要确保“两个三分之二”不折不扣到位。</w:t>
      </w:r>
      <w:r w:rsidR="006D4EE0" w:rsidRPr="00AD5C43">
        <w:rPr>
          <w:rFonts w:ascii="仿宋_GB2312" w:eastAsia="仿宋_GB2312" w:hint="eastAsia"/>
          <w:color w:val="333333"/>
          <w:sz w:val="32"/>
          <w:szCs w:val="32"/>
        </w:rPr>
        <w:t>瓦房店市</w:t>
      </w:r>
      <w:r w:rsidR="006D4EE0" w:rsidRPr="00AD5C43">
        <w:rPr>
          <w:rFonts w:ascii="仿宋_GB2312" w:eastAsia="仿宋_GB2312" w:hAnsi="微软雅黑" w:hint="eastAsia"/>
          <w:color w:val="333333"/>
          <w:sz w:val="32"/>
          <w:szCs w:val="32"/>
        </w:rPr>
        <w:t>入市工作领导小组办公室应</w:t>
      </w:r>
      <w:r w:rsidR="006D4EE0" w:rsidRPr="00AD5C43">
        <w:rPr>
          <w:rFonts w:ascii="仿宋_GB2312" w:eastAsia="仿宋_GB2312" w:hint="eastAsia"/>
          <w:color w:val="000000" w:themeColor="text1"/>
          <w:sz w:val="32"/>
          <w:szCs w:val="32"/>
        </w:rPr>
        <w:t>对提出入市申请的地块进行联合会审</w:t>
      </w:r>
      <w:r w:rsidR="007140CA" w:rsidRPr="00AD5C43">
        <w:rPr>
          <w:rFonts w:ascii="仿宋_GB2312" w:eastAsia="仿宋_GB2312" w:hint="eastAsia"/>
          <w:color w:val="000000" w:themeColor="text1"/>
          <w:sz w:val="32"/>
          <w:szCs w:val="32"/>
        </w:rPr>
        <w:t>，并明确了各职能部门会审职责</w:t>
      </w:r>
      <w:r w:rsidR="006D4EE0" w:rsidRPr="00AD5C43">
        <w:rPr>
          <w:rFonts w:ascii="仿宋_GB2312" w:eastAsia="仿宋_GB2312" w:hint="eastAsia"/>
          <w:color w:val="000000" w:themeColor="text1"/>
          <w:sz w:val="32"/>
          <w:szCs w:val="32"/>
        </w:rPr>
        <w:t>。</w:t>
      </w:r>
      <w:r w:rsidRPr="00AD5C43">
        <w:rPr>
          <w:rFonts w:ascii="仿宋_GB2312" w:eastAsia="仿宋_GB2312" w:hint="eastAsia"/>
          <w:color w:val="333333"/>
          <w:sz w:val="32"/>
          <w:szCs w:val="32"/>
        </w:rPr>
        <w:t>在委托地价评估上，要统筹兼顾“同地同权”和“稳步推进”。</w:t>
      </w:r>
    </w:p>
    <w:p w:rsidR="00AE3F85" w:rsidRPr="00AD5C43" w:rsidRDefault="00AE3F85" w:rsidP="00AD5C43">
      <w:pPr>
        <w:ind w:firstLineChars="200" w:firstLine="640"/>
        <w:rPr>
          <w:rFonts w:ascii="仿宋_GB2312" w:eastAsia="仿宋_GB2312" w:hAnsi="宋体" w:cs="宋体"/>
          <w:b/>
          <w:color w:val="000000" w:themeColor="text1"/>
          <w:sz w:val="32"/>
          <w:szCs w:val="32"/>
        </w:rPr>
      </w:pPr>
      <w:r w:rsidRPr="00AD5C43">
        <w:rPr>
          <w:rFonts w:ascii="仿宋_GB2312" w:eastAsia="仿宋_GB2312" w:hint="eastAsia"/>
          <w:color w:val="333333"/>
          <w:sz w:val="32"/>
          <w:szCs w:val="32"/>
        </w:rPr>
        <w:t>5.在收益管理方面。农村集体经营性建设用地入市收益归入市主体所有，但入市主体应承担相应的基础设施建设等开发成本，出让人应按成交地价总额的</w:t>
      </w:r>
      <w:r w:rsidR="007962D1" w:rsidRPr="00AD5C43">
        <w:rPr>
          <w:rFonts w:ascii="仿宋_GB2312" w:eastAsia="仿宋_GB2312" w:hAnsi="Times New Roman" w:cs="Times New Roman" w:hint="eastAsia"/>
          <w:color w:val="333333"/>
          <w:sz w:val="32"/>
          <w:szCs w:val="32"/>
        </w:rPr>
        <w:t>20-40</w:t>
      </w:r>
      <w:r w:rsidRPr="00AD5C43">
        <w:rPr>
          <w:rFonts w:ascii="仿宋_GB2312" w:eastAsia="仿宋_GB2312" w:hAnsi="Times New Roman" w:cs="Times New Roman" w:hint="eastAsia"/>
          <w:color w:val="333333"/>
          <w:sz w:val="32"/>
          <w:szCs w:val="32"/>
        </w:rPr>
        <w:t>%</w:t>
      </w:r>
      <w:r w:rsidR="007962D1" w:rsidRPr="00AD5C43">
        <w:rPr>
          <w:rFonts w:ascii="仿宋_GB2312" w:eastAsia="仿宋_GB2312" w:hint="eastAsia"/>
          <w:color w:val="333333"/>
          <w:sz w:val="32"/>
          <w:szCs w:val="32"/>
        </w:rPr>
        <w:t>向市</w:t>
      </w:r>
      <w:r w:rsidRPr="00AD5C43">
        <w:rPr>
          <w:rFonts w:ascii="仿宋_GB2312" w:eastAsia="仿宋_GB2312" w:hint="eastAsia"/>
          <w:color w:val="333333"/>
          <w:sz w:val="32"/>
          <w:szCs w:val="32"/>
        </w:rPr>
        <w:t>财政局缴纳土地增值收益调节金方式履行相应义务。</w:t>
      </w:r>
      <w:r w:rsidR="007962D1" w:rsidRPr="00AD5C43">
        <w:rPr>
          <w:rFonts w:ascii="仿宋_GB2312" w:eastAsia="仿宋_GB2312" w:hAnsi="宋体" w:cs="宋体" w:hint="eastAsia"/>
          <w:color w:val="000000" w:themeColor="text1"/>
          <w:sz w:val="32"/>
          <w:szCs w:val="32"/>
        </w:rPr>
        <w:t>增值收益调节金主要统筹用于城镇和农村基础设施建设、农村环境整治、生态补偿、土地复垦、失地农民保障以及对农村经济困难群众的社保补助和特困救助等</w:t>
      </w:r>
      <w:r w:rsidRPr="00AD5C43">
        <w:rPr>
          <w:rFonts w:ascii="仿宋_GB2312" w:eastAsia="仿宋_GB2312" w:hint="eastAsia"/>
          <w:color w:val="333333"/>
          <w:sz w:val="32"/>
          <w:szCs w:val="32"/>
        </w:rPr>
        <w:t>。农村集体经营性建设用地入市收益，可作为集体资产折股量化到本集体经济组织成员，不得直接分配给集体经济组织成员。</w:t>
      </w:r>
    </w:p>
    <w:p w:rsidR="00AE3F85" w:rsidRPr="00AD5C43" w:rsidRDefault="00AE3F85" w:rsidP="00AD5C43">
      <w:pPr>
        <w:pStyle w:val="a3"/>
        <w:shd w:val="clear" w:color="auto" w:fill="FFFFFF"/>
        <w:spacing w:before="0" w:beforeAutospacing="0" w:after="0" w:afterAutospacing="0" w:line="600" w:lineRule="atLeast"/>
        <w:ind w:firstLine="645"/>
        <w:jc w:val="both"/>
        <w:rPr>
          <w:rFonts w:ascii="仿宋_GB2312" w:eastAsia="仿宋_GB2312"/>
          <w:color w:val="333333"/>
          <w:sz w:val="21"/>
          <w:szCs w:val="21"/>
        </w:rPr>
      </w:pPr>
      <w:r w:rsidRPr="00AD5C43">
        <w:rPr>
          <w:rFonts w:ascii="仿宋_GB2312" w:eastAsia="仿宋_GB2312" w:hint="eastAsia"/>
          <w:color w:val="333333"/>
          <w:sz w:val="32"/>
          <w:szCs w:val="32"/>
        </w:rPr>
        <w:t>6.在后续监管方面。农村集体经营性建设用地出让后，属地乡镇、村集体经济组织以及相关职能部门要加强对入市地块开发利用情况进行监管，同时对入市地块使用权转让、</w:t>
      </w:r>
      <w:r w:rsidRPr="00AD5C43">
        <w:rPr>
          <w:rFonts w:ascii="仿宋_GB2312" w:eastAsia="仿宋_GB2312" w:hint="eastAsia"/>
          <w:color w:val="333333"/>
          <w:sz w:val="32"/>
          <w:szCs w:val="32"/>
        </w:rPr>
        <w:lastRenderedPageBreak/>
        <w:t>提前收回以及抵押权设立等进行了明确。贷款到期后抵押人未清偿债务或出现约定的实现抵押权的情形，抵押权人对该宗土地使用权有优先处置和受偿权。</w:t>
      </w:r>
    </w:p>
    <w:p w:rsidR="00AD5C43" w:rsidRPr="00AD5C43" w:rsidRDefault="00AD5C43" w:rsidP="00AD5C43">
      <w:pPr>
        <w:pStyle w:val="a3"/>
        <w:shd w:val="clear" w:color="auto" w:fill="FFFFFF"/>
        <w:spacing w:before="0" w:beforeAutospacing="0" w:after="0" w:afterAutospacing="0" w:line="555" w:lineRule="atLeast"/>
        <w:ind w:firstLine="645"/>
        <w:rPr>
          <w:rFonts w:ascii="黑体" w:eastAsia="黑体" w:hAnsi="黑体"/>
          <w:color w:val="333333"/>
          <w:sz w:val="32"/>
          <w:szCs w:val="32"/>
        </w:rPr>
      </w:pPr>
      <w:r w:rsidRPr="00AD5C43">
        <w:rPr>
          <w:rFonts w:ascii="黑体" w:eastAsia="黑体" w:hAnsi="黑体" w:hint="eastAsia"/>
          <w:color w:val="333333"/>
          <w:sz w:val="32"/>
          <w:szCs w:val="32"/>
        </w:rPr>
        <w:t>二、《瓦房店市农村集体经营性建设用地地价评估管理办法》起草说明</w:t>
      </w:r>
    </w:p>
    <w:p w:rsidR="00AD5C43" w:rsidRPr="00AD5C43" w:rsidRDefault="00AD5C43" w:rsidP="00AD5C43">
      <w:pPr>
        <w:pStyle w:val="a3"/>
        <w:shd w:val="clear" w:color="auto" w:fill="FFFFFF"/>
        <w:spacing w:before="0" w:beforeAutospacing="0" w:after="0" w:afterAutospacing="0" w:line="555" w:lineRule="atLeast"/>
        <w:ind w:firstLine="645"/>
        <w:rPr>
          <w:rFonts w:ascii="仿宋_GB2312" w:eastAsia="仿宋_GB2312"/>
          <w:color w:val="333333"/>
          <w:sz w:val="32"/>
          <w:szCs w:val="32"/>
        </w:rPr>
      </w:pPr>
      <w:r w:rsidRPr="00AD5C43">
        <w:rPr>
          <w:rFonts w:ascii="仿宋_GB2312" w:eastAsia="仿宋_GB2312" w:hint="eastAsia"/>
          <w:color w:val="333333"/>
          <w:sz w:val="32"/>
          <w:szCs w:val="32"/>
        </w:rPr>
        <w:t>依据《中华人民共和国土地管理法》、《中华人民共和国城市房地产管理法》、《国有建设用地使用权出让地价评估规范》、《城镇土地估价规程》，国家制订的地价评估程序、标准、原则和方法</w:t>
      </w:r>
      <w:r w:rsidRPr="00AD5C43">
        <w:rPr>
          <w:rFonts w:ascii="仿宋_GB2312" w:eastAsia="仿宋_GB2312"/>
          <w:color w:val="333333"/>
          <w:sz w:val="32"/>
          <w:szCs w:val="32"/>
        </w:rPr>
        <w:t>,</w:t>
      </w:r>
      <w:r w:rsidRPr="00AD5C43">
        <w:rPr>
          <w:rFonts w:ascii="仿宋_GB2312" w:eastAsia="仿宋_GB2312" w:hint="eastAsia"/>
          <w:color w:val="333333"/>
          <w:sz w:val="32"/>
          <w:szCs w:val="32"/>
        </w:rPr>
        <w:t>以集体建设用地基准地价为基础参照市场价格</w:t>
      </w:r>
      <w:r w:rsidRPr="00AD5C43">
        <w:rPr>
          <w:rFonts w:ascii="仿宋_GB2312" w:eastAsia="仿宋_GB2312"/>
          <w:color w:val="333333"/>
          <w:sz w:val="32"/>
          <w:szCs w:val="32"/>
        </w:rPr>
        <w:t>,</w:t>
      </w:r>
      <w:r w:rsidRPr="00AD5C43">
        <w:rPr>
          <w:rFonts w:ascii="仿宋_GB2312" w:eastAsia="仿宋_GB2312" w:hint="eastAsia"/>
          <w:color w:val="333333"/>
          <w:sz w:val="32"/>
          <w:szCs w:val="32"/>
        </w:rPr>
        <w:t>对宗地使用权价格进行评估。集体经营性建设用地入市过程中</w:t>
      </w:r>
      <w:r w:rsidRPr="00AD5C43">
        <w:rPr>
          <w:rFonts w:ascii="仿宋_GB2312" w:eastAsia="仿宋_GB2312"/>
          <w:color w:val="333333"/>
          <w:sz w:val="32"/>
          <w:szCs w:val="32"/>
        </w:rPr>
        <w:t>,</w:t>
      </w:r>
      <w:r w:rsidRPr="00AD5C43">
        <w:rPr>
          <w:rFonts w:ascii="仿宋_GB2312" w:eastAsia="仿宋_GB2312" w:hint="eastAsia"/>
          <w:color w:val="333333"/>
          <w:sz w:val="32"/>
          <w:szCs w:val="32"/>
        </w:rPr>
        <w:t>要进行宗地地价评估的</w:t>
      </w:r>
      <w:r w:rsidRPr="00AD5C43">
        <w:rPr>
          <w:rFonts w:ascii="仿宋_GB2312" w:eastAsia="仿宋_GB2312"/>
          <w:color w:val="333333"/>
          <w:sz w:val="32"/>
          <w:szCs w:val="32"/>
        </w:rPr>
        <w:t>,</w:t>
      </w:r>
      <w:r w:rsidRPr="00AD5C43">
        <w:rPr>
          <w:rFonts w:ascii="仿宋_GB2312" w:eastAsia="仿宋_GB2312" w:hint="eastAsia"/>
          <w:color w:val="333333"/>
          <w:sz w:val="32"/>
          <w:szCs w:val="32"/>
        </w:rPr>
        <w:t>应委托具有评估资质的中介机构评估。宗地价格评估应参照国家颁布的《城镇土地估价规程》（</w:t>
      </w:r>
      <w:r w:rsidRPr="00AD5C43">
        <w:rPr>
          <w:rFonts w:ascii="仿宋_GB2312" w:eastAsia="仿宋_GB2312"/>
          <w:color w:val="333333"/>
          <w:sz w:val="32"/>
          <w:szCs w:val="32"/>
        </w:rPr>
        <w:t>GB/T 18508-2014</w:t>
      </w:r>
      <w:r w:rsidRPr="00AD5C43">
        <w:rPr>
          <w:rFonts w:ascii="仿宋_GB2312" w:eastAsia="仿宋_GB2312" w:hint="eastAsia"/>
          <w:color w:val="333333"/>
          <w:sz w:val="32"/>
          <w:szCs w:val="32"/>
        </w:rPr>
        <w:t>）以及相关的《技术规范》要求进行</w:t>
      </w:r>
      <w:r w:rsidRPr="00AD5C43">
        <w:rPr>
          <w:rFonts w:ascii="仿宋_GB2312" w:eastAsia="仿宋_GB2312"/>
          <w:color w:val="333333"/>
          <w:sz w:val="32"/>
          <w:szCs w:val="32"/>
        </w:rPr>
        <w:t>,</w:t>
      </w:r>
      <w:r w:rsidRPr="00AD5C43">
        <w:rPr>
          <w:rFonts w:ascii="仿宋_GB2312" w:eastAsia="仿宋_GB2312" w:hint="eastAsia"/>
          <w:color w:val="333333"/>
          <w:sz w:val="32"/>
          <w:szCs w:val="32"/>
        </w:rPr>
        <w:t>并依据评估宗地的用途、宗地的取得方式、土地等级、使用年期、使用条件、宗地状况以及交通、基础设施、环境条件和收益能力等多种因素综合评定。土地评估中介机构接受评估委托后</w:t>
      </w:r>
      <w:r w:rsidRPr="00AD5C43">
        <w:rPr>
          <w:rFonts w:ascii="仿宋_GB2312" w:eastAsia="仿宋_GB2312"/>
          <w:color w:val="333333"/>
          <w:sz w:val="32"/>
          <w:szCs w:val="32"/>
        </w:rPr>
        <w:t>,</w:t>
      </w:r>
      <w:r w:rsidRPr="00AD5C43">
        <w:rPr>
          <w:rFonts w:ascii="仿宋_GB2312" w:eastAsia="仿宋_GB2312" w:hint="eastAsia"/>
          <w:color w:val="333333"/>
          <w:sz w:val="32"/>
          <w:szCs w:val="32"/>
        </w:rPr>
        <w:t>应及时进行评估</w:t>
      </w:r>
      <w:r w:rsidRPr="00AD5C43">
        <w:rPr>
          <w:rFonts w:ascii="仿宋_GB2312" w:eastAsia="仿宋_GB2312"/>
          <w:color w:val="333333"/>
          <w:sz w:val="32"/>
          <w:szCs w:val="32"/>
        </w:rPr>
        <w:t>,</w:t>
      </w:r>
      <w:r w:rsidRPr="00AD5C43">
        <w:rPr>
          <w:rFonts w:ascii="仿宋_GB2312" w:eastAsia="仿宋_GB2312" w:hint="eastAsia"/>
          <w:color w:val="333333"/>
          <w:sz w:val="32"/>
          <w:szCs w:val="32"/>
        </w:rPr>
        <w:t>出具土地评估报告书。瓦房店市自然资源局负责对土地评估机构的监管</w:t>
      </w:r>
      <w:r w:rsidRPr="00AD5C43">
        <w:rPr>
          <w:rFonts w:ascii="仿宋_GB2312" w:eastAsia="仿宋_GB2312"/>
          <w:color w:val="333333"/>
          <w:sz w:val="32"/>
          <w:szCs w:val="32"/>
        </w:rPr>
        <w:t>,</w:t>
      </w:r>
      <w:r w:rsidRPr="00AD5C43">
        <w:rPr>
          <w:rFonts w:ascii="仿宋_GB2312" w:eastAsia="仿宋_GB2312" w:hint="eastAsia"/>
          <w:color w:val="333333"/>
          <w:sz w:val="32"/>
          <w:szCs w:val="32"/>
        </w:rPr>
        <w:t>定期对土地评估机构土地报告质量进行抽查</w:t>
      </w:r>
      <w:r w:rsidRPr="00AD5C43">
        <w:rPr>
          <w:rFonts w:ascii="仿宋_GB2312" w:eastAsia="仿宋_GB2312"/>
          <w:color w:val="333333"/>
          <w:sz w:val="32"/>
          <w:szCs w:val="32"/>
        </w:rPr>
        <w:t>,</w:t>
      </w:r>
      <w:r w:rsidRPr="00AD5C43">
        <w:rPr>
          <w:rFonts w:ascii="仿宋_GB2312" w:eastAsia="仿宋_GB2312" w:hint="eastAsia"/>
          <w:color w:val="333333"/>
          <w:sz w:val="32"/>
          <w:szCs w:val="32"/>
        </w:rPr>
        <w:t>发现问题记录在案</w:t>
      </w:r>
      <w:r w:rsidRPr="00AD5C43">
        <w:rPr>
          <w:rFonts w:ascii="仿宋_GB2312" w:eastAsia="仿宋_GB2312"/>
          <w:color w:val="333333"/>
          <w:sz w:val="32"/>
          <w:szCs w:val="32"/>
        </w:rPr>
        <w:t>,</w:t>
      </w:r>
      <w:r w:rsidRPr="00AD5C43">
        <w:rPr>
          <w:rFonts w:ascii="仿宋_GB2312" w:eastAsia="仿宋_GB2312" w:hint="eastAsia"/>
          <w:color w:val="333333"/>
          <w:sz w:val="32"/>
          <w:szCs w:val="32"/>
        </w:rPr>
        <w:t>并及时责成其改正重新评估。</w:t>
      </w:r>
    </w:p>
    <w:p w:rsidR="00AD5C43" w:rsidRPr="00AD5C43" w:rsidRDefault="00AD5C43" w:rsidP="00AD5C43">
      <w:pPr>
        <w:pStyle w:val="a3"/>
        <w:shd w:val="clear" w:color="auto" w:fill="FFFFFF"/>
        <w:spacing w:before="0" w:beforeAutospacing="0" w:after="0" w:afterAutospacing="0" w:line="555" w:lineRule="atLeast"/>
        <w:ind w:firstLine="645"/>
        <w:rPr>
          <w:rFonts w:ascii="黑体" w:eastAsia="黑体" w:hAnsi="黑体"/>
          <w:color w:val="333333"/>
          <w:sz w:val="32"/>
          <w:szCs w:val="32"/>
        </w:rPr>
      </w:pPr>
      <w:r w:rsidRPr="00AD5C43">
        <w:rPr>
          <w:rFonts w:ascii="黑体" w:eastAsia="黑体" w:hAnsi="黑体"/>
          <w:color w:val="333333"/>
          <w:sz w:val="32"/>
          <w:szCs w:val="32"/>
        </w:rPr>
        <w:t>三、《</w:t>
      </w:r>
      <w:r w:rsidRPr="00AD5C43">
        <w:rPr>
          <w:rFonts w:ascii="黑体" w:eastAsia="黑体" w:hAnsi="黑体" w:hint="eastAsia"/>
          <w:color w:val="333333"/>
          <w:sz w:val="32"/>
          <w:szCs w:val="32"/>
        </w:rPr>
        <w:t>瓦房店市农村集体经营性建设用地使用权招标、拍卖、挂牌出让规则</w:t>
      </w:r>
      <w:r w:rsidRPr="00AD5C43">
        <w:rPr>
          <w:rFonts w:ascii="黑体" w:eastAsia="黑体" w:hAnsi="黑体"/>
          <w:color w:val="333333"/>
          <w:sz w:val="32"/>
          <w:szCs w:val="32"/>
        </w:rPr>
        <w:t>》起草说明</w:t>
      </w:r>
    </w:p>
    <w:p w:rsidR="00AD5C43" w:rsidRPr="00AD5C43" w:rsidRDefault="00AD5C43" w:rsidP="00AD5C43">
      <w:pPr>
        <w:pStyle w:val="a3"/>
        <w:shd w:val="clear" w:color="auto" w:fill="FFFFFF"/>
        <w:spacing w:before="0" w:beforeAutospacing="0" w:after="0" w:afterAutospacing="0" w:line="555" w:lineRule="atLeast"/>
        <w:ind w:firstLine="645"/>
        <w:rPr>
          <w:rFonts w:ascii="仿宋_GB2312" w:eastAsia="仿宋_GB2312"/>
          <w:color w:val="333333"/>
          <w:sz w:val="32"/>
          <w:szCs w:val="32"/>
        </w:rPr>
      </w:pPr>
      <w:r w:rsidRPr="00AD5C43">
        <w:rPr>
          <w:rFonts w:ascii="仿宋_GB2312" w:eastAsia="仿宋_GB2312" w:hint="eastAsia"/>
          <w:color w:val="333333"/>
          <w:sz w:val="32"/>
          <w:szCs w:val="32"/>
        </w:rPr>
        <w:lastRenderedPageBreak/>
        <w:t>根据《中华人民共和国土地管理法》，参照《招标拍卖挂牌出让国有建设用地使用权规定》,制定本规则。土地交易代理机构承办集体经营性建设用地使用权招标、拍卖、挂牌出让活动。乡(镇)人民政府应当对入市主体提交的材料进行审核,提出审核意见。瓦房店市自然资源主管应当对入市方案中的产权、规划、开发利用条件、供地政策等方面进行审查,审查通过后,报瓦房店市人民政府批准。土地交易代理机构应当在当地土地有形市场等媒体公开发布集体经营性建设用地使用权出让公告，对收到的申请进行审查。组织实施招标拍卖挂牌活动，签订出让合同，公布出让结果，交付土地。</w:t>
      </w:r>
    </w:p>
    <w:p w:rsidR="00AD5C43" w:rsidRPr="00AD5C43" w:rsidRDefault="00AD5C43" w:rsidP="00AD5C43">
      <w:pPr>
        <w:pStyle w:val="a3"/>
        <w:shd w:val="clear" w:color="auto" w:fill="FFFFFF"/>
        <w:spacing w:before="0" w:beforeAutospacing="0" w:after="0" w:afterAutospacing="0" w:line="555" w:lineRule="atLeast"/>
        <w:ind w:firstLine="645"/>
        <w:rPr>
          <w:rFonts w:ascii="黑体" w:eastAsia="黑体" w:hAnsi="黑体"/>
          <w:color w:val="333333"/>
          <w:sz w:val="32"/>
          <w:szCs w:val="32"/>
        </w:rPr>
      </w:pPr>
      <w:r w:rsidRPr="00AD5C43">
        <w:rPr>
          <w:rFonts w:ascii="黑体" w:eastAsia="黑体" w:hAnsi="黑体"/>
          <w:color w:val="333333"/>
          <w:sz w:val="32"/>
          <w:szCs w:val="32"/>
        </w:rPr>
        <w:t>四、《</w:t>
      </w:r>
      <w:r w:rsidRPr="00AD5C43">
        <w:rPr>
          <w:rFonts w:ascii="黑体" w:eastAsia="黑体" w:hAnsi="黑体" w:hint="eastAsia"/>
          <w:color w:val="333333"/>
          <w:sz w:val="32"/>
          <w:szCs w:val="32"/>
        </w:rPr>
        <w:t>瓦房店市农村集体经营性建设用地使用权不动产登记管理办法</w:t>
      </w:r>
      <w:r w:rsidRPr="00AD5C43">
        <w:rPr>
          <w:rFonts w:ascii="黑体" w:eastAsia="黑体" w:hAnsi="黑体"/>
          <w:color w:val="333333"/>
          <w:sz w:val="32"/>
          <w:szCs w:val="32"/>
        </w:rPr>
        <w:t>》起草说明</w:t>
      </w:r>
    </w:p>
    <w:p w:rsidR="00AD5C43" w:rsidRPr="00AD5C43" w:rsidRDefault="00AD5C43" w:rsidP="00AD5C43">
      <w:pPr>
        <w:pStyle w:val="a3"/>
        <w:shd w:val="clear" w:color="auto" w:fill="FFFFFF"/>
        <w:spacing w:before="0" w:beforeAutospacing="0" w:after="0" w:afterAutospacing="0" w:line="555" w:lineRule="atLeast"/>
        <w:ind w:firstLine="645"/>
        <w:rPr>
          <w:rFonts w:ascii="仿宋_GB2312" w:eastAsia="仿宋_GB2312"/>
          <w:color w:val="333333"/>
          <w:sz w:val="32"/>
          <w:szCs w:val="32"/>
        </w:rPr>
      </w:pPr>
      <w:r w:rsidRPr="00AD5C43">
        <w:rPr>
          <w:rFonts w:ascii="仿宋_GB2312" w:eastAsia="仿宋_GB2312" w:hint="eastAsia"/>
          <w:color w:val="333333"/>
          <w:sz w:val="32"/>
          <w:szCs w:val="32"/>
        </w:rPr>
        <w:t>根据《中华人民共和国土地管理法》《不动产登记暂行条例》、《不动产登记暂行条例实施细则》等法律、法规及相关文件，结合我市实际，制定本办法。瓦房店市不动产登记中心设立综合受理窗口，统一受理各相关办理事项，一次性收取所需全部材料，力争实现的</w:t>
      </w:r>
      <w:r w:rsidRPr="00AD5C43">
        <w:rPr>
          <w:rFonts w:ascii="仿宋_GB2312" w:eastAsia="仿宋_GB2312"/>
          <w:color w:val="333333"/>
          <w:sz w:val="32"/>
          <w:szCs w:val="32"/>
        </w:rPr>
        <w:t>“</w:t>
      </w:r>
      <w:r w:rsidRPr="00AD5C43">
        <w:rPr>
          <w:rFonts w:ascii="仿宋_GB2312" w:eastAsia="仿宋_GB2312" w:hint="eastAsia"/>
          <w:color w:val="333333"/>
          <w:sz w:val="32"/>
          <w:szCs w:val="32"/>
        </w:rPr>
        <w:t>一窗受理、并行办理</w:t>
      </w:r>
      <w:r w:rsidRPr="00AD5C43">
        <w:rPr>
          <w:rFonts w:ascii="仿宋_GB2312" w:eastAsia="仿宋_GB2312"/>
          <w:color w:val="333333"/>
          <w:sz w:val="32"/>
          <w:szCs w:val="32"/>
        </w:rPr>
        <w:t>”</w:t>
      </w:r>
      <w:r w:rsidRPr="00AD5C43">
        <w:rPr>
          <w:rFonts w:ascii="仿宋_GB2312" w:eastAsia="仿宋_GB2312" w:hint="eastAsia"/>
          <w:color w:val="333333"/>
          <w:sz w:val="32"/>
          <w:szCs w:val="32"/>
        </w:rPr>
        <w:t>。主要包括首次登记、变更登记、注销登记、抵押登记、更正登记与异议登记、查封登记和其他登记，以及不动产登记资料的查询。</w:t>
      </w:r>
    </w:p>
    <w:p w:rsidR="00AD5C43" w:rsidRPr="00AD5C43" w:rsidRDefault="00AD5C43" w:rsidP="00AD5C43">
      <w:pPr>
        <w:pStyle w:val="a3"/>
        <w:shd w:val="clear" w:color="auto" w:fill="FFFFFF"/>
        <w:spacing w:before="0" w:beforeAutospacing="0" w:after="0" w:afterAutospacing="0" w:line="555" w:lineRule="atLeast"/>
        <w:ind w:firstLine="645"/>
        <w:rPr>
          <w:rFonts w:ascii="黑体" w:eastAsia="黑体" w:hAnsi="黑体"/>
          <w:color w:val="333333"/>
          <w:sz w:val="32"/>
          <w:szCs w:val="32"/>
        </w:rPr>
      </w:pPr>
      <w:r w:rsidRPr="00AD5C43">
        <w:rPr>
          <w:rFonts w:ascii="黑体" w:eastAsia="黑体" w:hAnsi="黑体" w:hint="eastAsia"/>
          <w:color w:val="333333"/>
          <w:sz w:val="32"/>
          <w:szCs w:val="32"/>
        </w:rPr>
        <w:lastRenderedPageBreak/>
        <w:t>五、《瓦房店市农村集体经营性建设用地入市村级集体经济收益分配使用</w:t>
      </w:r>
      <w:r w:rsidR="00941A32">
        <w:rPr>
          <w:rFonts w:ascii="黑体" w:eastAsia="黑体" w:hAnsi="黑体" w:hint="eastAsia"/>
          <w:color w:val="333333"/>
          <w:sz w:val="32"/>
          <w:szCs w:val="32"/>
        </w:rPr>
        <w:t>及</w:t>
      </w:r>
      <w:r w:rsidRPr="00AD5C43">
        <w:rPr>
          <w:rFonts w:ascii="黑体" w:eastAsia="黑体" w:hAnsi="黑体" w:hint="eastAsia"/>
          <w:color w:val="333333"/>
          <w:sz w:val="32"/>
          <w:szCs w:val="32"/>
        </w:rPr>
        <w:t>管理办法》起草说明</w:t>
      </w:r>
    </w:p>
    <w:p w:rsidR="00AD5C43" w:rsidRPr="00AD5C43" w:rsidRDefault="00AD5C43" w:rsidP="00AD5C43">
      <w:pPr>
        <w:pStyle w:val="a3"/>
        <w:shd w:val="clear" w:color="auto" w:fill="FFFFFF"/>
        <w:spacing w:before="0" w:beforeAutospacing="0" w:after="0" w:afterAutospacing="0" w:line="555" w:lineRule="atLeast"/>
        <w:ind w:firstLine="645"/>
        <w:rPr>
          <w:rFonts w:ascii="仿宋_GB2312" w:eastAsia="仿宋_GB2312"/>
          <w:color w:val="333333"/>
          <w:sz w:val="32"/>
          <w:szCs w:val="32"/>
        </w:rPr>
      </w:pPr>
      <w:r w:rsidRPr="00AD5C43">
        <w:rPr>
          <w:rFonts w:ascii="仿宋_GB2312" w:eastAsia="仿宋_GB2312" w:hint="eastAsia"/>
          <w:color w:val="333333"/>
          <w:sz w:val="32"/>
          <w:szCs w:val="32"/>
        </w:rPr>
        <w:t>根据中共中央办公厅</w:t>
      </w:r>
      <w:r w:rsidR="00471A1C">
        <w:rPr>
          <w:rFonts w:ascii="仿宋_GB2312" w:eastAsia="仿宋_GB2312" w:hint="eastAsia"/>
          <w:color w:val="333333"/>
          <w:sz w:val="32"/>
          <w:szCs w:val="32"/>
        </w:rPr>
        <w:t>、国务院办公厅《关于深化农村集体经营性建设用地入市试点工作的</w:t>
      </w:r>
      <w:r w:rsidRPr="00AD5C43">
        <w:rPr>
          <w:rFonts w:ascii="仿宋_GB2312" w:eastAsia="仿宋_GB2312" w:hint="eastAsia"/>
          <w:color w:val="333333"/>
          <w:sz w:val="32"/>
          <w:szCs w:val="32"/>
        </w:rPr>
        <w:t>意见》（厅字〔2022〕34号）、自然资源部《深化农村集体经营性建设用地入市试点工作方案》及《辽宁省农村集体资产条例》、制定本办法。</w:t>
      </w:r>
    </w:p>
    <w:p w:rsidR="00AD5C43" w:rsidRPr="00AD5C43" w:rsidRDefault="00AD5C43" w:rsidP="00AD5C43">
      <w:pPr>
        <w:pStyle w:val="a3"/>
        <w:shd w:val="clear" w:color="auto" w:fill="FFFFFF"/>
        <w:spacing w:before="0" w:beforeAutospacing="0" w:after="0" w:afterAutospacing="0" w:line="555" w:lineRule="atLeast"/>
        <w:ind w:firstLine="645"/>
        <w:rPr>
          <w:rFonts w:ascii="仿宋_GB2312" w:eastAsia="仿宋_GB2312"/>
          <w:color w:val="333333"/>
          <w:sz w:val="32"/>
          <w:szCs w:val="32"/>
        </w:rPr>
      </w:pPr>
      <w:r w:rsidRPr="00AD5C43">
        <w:rPr>
          <w:rFonts w:ascii="仿宋_GB2312" w:eastAsia="仿宋_GB2312" w:hint="eastAsia"/>
          <w:color w:val="333333"/>
          <w:sz w:val="32"/>
          <w:szCs w:val="32"/>
        </w:rPr>
        <w:t>收益的使用。农村集体经济组织获得的集体经营性建设用地入市净收益，归农村集体经济组织所有，在集体经济组织内部合理分配。农村集体经济组织应当建立集体经营性建设用地入市收益辅助账户，纳入农村集体资产统一管理，严格按规定分配使用。</w:t>
      </w:r>
    </w:p>
    <w:p w:rsidR="00AD5C43" w:rsidRPr="00AD5C43" w:rsidRDefault="00AD5C43" w:rsidP="00AD5C43">
      <w:pPr>
        <w:pStyle w:val="a3"/>
        <w:shd w:val="clear" w:color="auto" w:fill="FFFFFF"/>
        <w:spacing w:before="0" w:beforeAutospacing="0" w:after="0" w:afterAutospacing="0" w:line="555" w:lineRule="atLeast"/>
        <w:ind w:firstLine="645"/>
        <w:rPr>
          <w:rFonts w:ascii="仿宋_GB2312" w:eastAsia="仿宋_GB2312"/>
          <w:color w:val="333333"/>
          <w:sz w:val="32"/>
          <w:szCs w:val="32"/>
        </w:rPr>
      </w:pPr>
      <w:r w:rsidRPr="00AD5C43">
        <w:rPr>
          <w:rFonts w:ascii="仿宋_GB2312" w:eastAsia="仿宋_GB2312" w:hint="eastAsia"/>
          <w:color w:val="333333"/>
          <w:sz w:val="32"/>
          <w:szCs w:val="32"/>
        </w:rPr>
        <w:t>收益的管理。（一）以出让方式入市的，其入市净收益作为集体积累，统一列入集体公积公益金进行管理。（二）以出租方式入市的，其入市净收益按年度或约定期限缴纳，其收益按年度计入集体经济收入。（三）以作价出资或入股方式入市的，原则上在《作价出资(入股)入市合同》中明确采取“固定收益+分红”方式获取投资收益，其收益作为集体经济收入按年度计入投资收益。（四）村集体经济组织将集体经营性建设用地入市净收益通过对外投资、购买物业、股份合作、购买政府性债券等再投资所取得的收益，在扣除必要的投资费用，可将再收益按股份经济合作社章程进行分红。</w:t>
      </w:r>
    </w:p>
    <w:p w:rsidR="00AD5C43" w:rsidRPr="00AD5C43" w:rsidRDefault="00AD5C43" w:rsidP="00AD5C43">
      <w:pPr>
        <w:pStyle w:val="a3"/>
        <w:shd w:val="clear" w:color="auto" w:fill="FFFFFF"/>
        <w:spacing w:before="0" w:beforeAutospacing="0" w:after="0" w:afterAutospacing="0" w:line="555" w:lineRule="atLeast"/>
        <w:ind w:firstLine="645"/>
        <w:rPr>
          <w:rFonts w:ascii="仿宋_GB2312" w:eastAsia="仿宋_GB2312"/>
          <w:color w:val="333333"/>
          <w:sz w:val="32"/>
          <w:szCs w:val="32"/>
        </w:rPr>
      </w:pPr>
      <w:r w:rsidRPr="00AD5C43">
        <w:rPr>
          <w:rFonts w:ascii="仿宋_GB2312" w:eastAsia="仿宋_GB2312" w:hint="eastAsia"/>
          <w:color w:val="333333"/>
          <w:sz w:val="32"/>
          <w:szCs w:val="32"/>
        </w:rPr>
        <w:lastRenderedPageBreak/>
        <w:t>会计核算。乡镇会计核算中心要组织会计人员，依据不同的收入性质，进行会计科目的正确核算，</w:t>
      </w:r>
      <w:r w:rsidRPr="00AD5C43">
        <w:rPr>
          <w:rFonts w:ascii="仿宋_GB2312" w:eastAsia="仿宋_GB2312"/>
          <w:color w:val="333333"/>
          <w:sz w:val="32"/>
          <w:szCs w:val="32"/>
        </w:rPr>
        <w:t>建立入市净收益管理台账，专门用于登记其入市取得的土地净收益及其再收益的使用管理情况</w:t>
      </w:r>
      <w:r w:rsidRPr="00AD5C43">
        <w:rPr>
          <w:rFonts w:ascii="仿宋_GB2312" w:eastAsia="仿宋_GB2312" w:hint="eastAsia"/>
          <w:color w:val="333333"/>
          <w:sz w:val="32"/>
          <w:szCs w:val="32"/>
        </w:rPr>
        <w:t>。</w:t>
      </w:r>
    </w:p>
    <w:p w:rsidR="00AD5C43" w:rsidRPr="00AD5C43" w:rsidRDefault="00AD5C43" w:rsidP="00AD5C43">
      <w:pPr>
        <w:pStyle w:val="a3"/>
        <w:shd w:val="clear" w:color="auto" w:fill="FFFFFF"/>
        <w:spacing w:before="0" w:beforeAutospacing="0" w:after="0" w:afterAutospacing="0" w:line="555" w:lineRule="atLeast"/>
        <w:ind w:firstLine="645"/>
        <w:rPr>
          <w:rFonts w:ascii="仿宋_GB2312" w:eastAsia="仿宋_GB2312"/>
          <w:color w:val="333333"/>
          <w:sz w:val="32"/>
          <w:szCs w:val="32"/>
        </w:rPr>
      </w:pPr>
      <w:r w:rsidRPr="00AD5C43">
        <w:rPr>
          <w:rFonts w:ascii="仿宋_GB2312" w:eastAsia="仿宋_GB2312" w:hint="eastAsia"/>
          <w:color w:val="333333"/>
          <w:sz w:val="32"/>
          <w:szCs w:val="32"/>
        </w:rPr>
        <w:t>农村集体经营性建设用地入市收益分配和使用情况由应如实在“辽宁阳光三务”上对村民进行公示，接受村民监督；审计监督由乡镇人民政府进行专项审计。</w:t>
      </w:r>
    </w:p>
    <w:p w:rsidR="00AD5C43" w:rsidRPr="00AD5C43" w:rsidRDefault="00AD5C43" w:rsidP="00AD5C43">
      <w:pPr>
        <w:pStyle w:val="a3"/>
        <w:shd w:val="clear" w:color="auto" w:fill="FFFFFF"/>
        <w:spacing w:before="0" w:beforeAutospacing="0" w:after="0" w:afterAutospacing="0" w:line="555" w:lineRule="atLeast"/>
        <w:ind w:firstLine="645"/>
        <w:rPr>
          <w:rFonts w:ascii="黑体" w:eastAsia="黑体" w:hAnsi="黑体"/>
          <w:color w:val="333333"/>
          <w:sz w:val="32"/>
          <w:szCs w:val="32"/>
        </w:rPr>
      </w:pPr>
      <w:r w:rsidRPr="00AD5C43">
        <w:rPr>
          <w:rFonts w:ascii="黑体" w:eastAsia="黑体" w:hAnsi="黑体"/>
          <w:color w:val="333333"/>
          <w:sz w:val="32"/>
          <w:szCs w:val="32"/>
        </w:rPr>
        <w:t>六、《</w:t>
      </w:r>
      <w:r w:rsidRPr="00AD5C43">
        <w:rPr>
          <w:rFonts w:ascii="黑体" w:eastAsia="黑体" w:hAnsi="黑体" w:hint="eastAsia"/>
          <w:color w:val="333333"/>
          <w:sz w:val="32"/>
          <w:szCs w:val="32"/>
        </w:rPr>
        <w:t>瓦房店市农村集体经营性建设用地入市土地增值收益调节金征收使用管理实施细则</w:t>
      </w:r>
      <w:r w:rsidRPr="00AD5C43">
        <w:rPr>
          <w:rFonts w:ascii="黑体" w:eastAsia="黑体" w:hAnsi="黑体"/>
          <w:color w:val="333333"/>
          <w:sz w:val="32"/>
          <w:szCs w:val="32"/>
        </w:rPr>
        <w:t>》起草说明</w:t>
      </w:r>
    </w:p>
    <w:p w:rsidR="00AD5C43" w:rsidRPr="00AD5C43" w:rsidRDefault="00AD5C43" w:rsidP="00AD5C43">
      <w:pPr>
        <w:pStyle w:val="a3"/>
        <w:shd w:val="clear" w:color="auto" w:fill="FFFFFF"/>
        <w:spacing w:before="0" w:beforeAutospacing="0" w:after="0" w:afterAutospacing="0" w:line="555" w:lineRule="atLeast"/>
        <w:ind w:firstLine="645"/>
        <w:rPr>
          <w:rFonts w:ascii="仿宋_GB2312" w:eastAsia="仿宋_GB2312"/>
          <w:color w:val="333333"/>
          <w:sz w:val="32"/>
          <w:szCs w:val="32"/>
        </w:rPr>
      </w:pPr>
      <w:r w:rsidRPr="00AD5C43">
        <w:rPr>
          <w:rFonts w:ascii="仿宋_GB2312" w:eastAsia="仿宋_GB2312" w:hint="eastAsia"/>
          <w:color w:val="333333"/>
          <w:sz w:val="32"/>
          <w:szCs w:val="32"/>
        </w:rPr>
        <w:t>根据《财政部、国土资源部关于印发(农村集体经营性建设用地土地增值收益调节金征收使用管理暂行办法)的通知》，制定实施细则。</w:t>
      </w:r>
    </w:p>
    <w:p w:rsidR="00AD5C43" w:rsidRPr="00AD5C43" w:rsidRDefault="00AD5C43" w:rsidP="00AD5C43">
      <w:pPr>
        <w:pStyle w:val="a3"/>
        <w:shd w:val="clear" w:color="auto" w:fill="FFFFFF"/>
        <w:spacing w:before="0" w:beforeAutospacing="0" w:after="0" w:afterAutospacing="0" w:line="555" w:lineRule="atLeast"/>
        <w:ind w:firstLine="645"/>
        <w:rPr>
          <w:rFonts w:ascii="仿宋_GB2312" w:eastAsia="仿宋_GB2312"/>
          <w:color w:val="333333"/>
          <w:sz w:val="32"/>
          <w:szCs w:val="32"/>
        </w:rPr>
      </w:pPr>
      <w:r w:rsidRPr="00AD5C43">
        <w:rPr>
          <w:rFonts w:ascii="仿宋_GB2312" w:eastAsia="仿宋_GB2312" w:hint="eastAsia"/>
          <w:color w:val="333333"/>
          <w:sz w:val="32"/>
          <w:szCs w:val="32"/>
        </w:rPr>
        <w:t>征收缴库。调节金由瓦房店市财政局会同市自然资源局负责组织征收。(一)以出让方式入市的，按成交价格分级累进缴纳增值收益调节金。出让价格在每亩15万元(含15万元)以内部分按20%缴纳；出让价格在每亩15万元-30万元(含30万元)部分按</w:t>
      </w:r>
      <w:r w:rsidRPr="00AD5C43">
        <w:rPr>
          <w:rFonts w:ascii="仿宋_GB2312" w:eastAsia="仿宋_GB2312"/>
          <w:color w:val="333333"/>
          <w:sz w:val="32"/>
          <w:szCs w:val="32"/>
        </w:rPr>
        <w:t>2</w:t>
      </w:r>
      <w:r w:rsidRPr="00AD5C43">
        <w:rPr>
          <w:rFonts w:ascii="仿宋_GB2312" w:eastAsia="仿宋_GB2312" w:hint="eastAsia"/>
          <w:color w:val="333333"/>
          <w:sz w:val="32"/>
          <w:szCs w:val="32"/>
        </w:rPr>
        <w:t>5%缴纳；出让价格在每亩30万元-50万元(含30万元)部分按30%缴纳；出让价格在50万元以上部分按40%缴纳。(二)以租赁和作价出资(入股)方式入市的，在取得租金、股息、红利收入时，按照入市收入的30%缴纳。入市的农村集体经营性建设用地再转让的，应根据土地增值收益、差价补偿数额按规定比例缴纳调节金。增值收益是指</w:t>
      </w:r>
      <w:r w:rsidRPr="00AD5C43">
        <w:rPr>
          <w:rFonts w:ascii="仿宋_GB2312" w:eastAsia="仿宋_GB2312" w:hint="eastAsia"/>
          <w:color w:val="333333"/>
          <w:sz w:val="32"/>
          <w:szCs w:val="32"/>
        </w:rPr>
        <w:lastRenderedPageBreak/>
        <w:t>转让收入扣除取得集体经营性建设用地入市出让金(多次转让的按最近一次缴纳调节金对应的出让金)后的余额。</w:t>
      </w:r>
    </w:p>
    <w:p w:rsidR="00AE3F85" w:rsidRPr="00AD5C43" w:rsidRDefault="00AD5C43" w:rsidP="00AD5C43">
      <w:pPr>
        <w:pStyle w:val="a3"/>
        <w:shd w:val="clear" w:color="auto" w:fill="FFFFFF"/>
        <w:spacing w:before="0" w:beforeAutospacing="0" w:after="0" w:afterAutospacing="0" w:line="555" w:lineRule="atLeast"/>
        <w:ind w:firstLine="645"/>
        <w:rPr>
          <w:color w:val="333333"/>
          <w:sz w:val="21"/>
          <w:szCs w:val="21"/>
        </w:rPr>
      </w:pPr>
      <w:r w:rsidRPr="00AD5C43">
        <w:rPr>
          <w:rFonts w:ascii="仿宋_GB2312" w:eastAsia="仿宋_GB2312"/>
          <w:color w:val="333333"/>
          <w:sz w:val="32"/>
          <w:szCs w:val="32"/>
        </w:rPr>
        <w:t>使用管理。</w:t>
      </w:r>
      <w:r w:rsidRPr="00AD5C43">
        <w:rPr>
          <w:rFonts w:ascii="仿宋_GB2312" w:eastAsia="仿宋_GB2312" w:hint="eastAsia"/>
          <w:color w:val="333333"/>
          <w:sz w:val="32"/>
          <w:szCs w:val="32"/>
        </w:rPr>
        <w:t>市财政局应设立农村集体经营性建设用地入市专用账户，入市交易资金应当全部进入专户管理。村级增值收益（不含调节金）全部归属集体经济组织。增值收益调节金按照政府非税收入管理有关规定，资金全额上缴瓦房店市财政纳入地方一般公共预算管理，由财政部门统筹安排使用。</w:t>
      </w:r>
    </w:p>
    <w:sectPr w:rsidR="00AE3F85" w:rsidRPr="00AD5C43" w:rsidSect="00257FAE">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0BF7" w:rsidRDefault="00290BF7" w:rsidP="00AD5C43">
      <w:r>
        <w:separator/>
      </w:r>
    </w:p>
  </w:endnote>
  <w:endnote w:type="continuationSeparator" w:id="1">
    <w:p w:rsidR="00290BF7" w:rsidRDefault="00290BF7" w:rsidP="00AD5C4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9584844"/>
      <w:docPartObj>
        <w:docPartGallery w:val="Page Numbers (Bottom of Page)"/>
        <w:docPartUnique/>
      </w:docPartObj>
    </w:sdtPr>
    <w:sdtContent>
      <w:p w:rsidR="003148E7" w:rsidRDefault="00CF1891" w:rsidP="00777DE2">
        <w:pPr>
          <w:pStyle w:val="a5"/>
          <w:jc w:val="center"/>
        </w:pPr>
        <w:r w:rsidRPr="003148E7">
          <w:rPr>
            <w:sz w:val="28"/>
            <w:szCs w:val="28"/>
          </w:rPr>
          <w:fldChar w:fldCharType="begin"/>
        </w:r>
        <w:r w:rsidR="003148E7" w:rsidRPr="003148E7">
          <w:rPr>
            <w:sz w:val="28"/>
            <w:szCs w:val="28"/>
          </w:rPr>
          <w:instrText xml:space="preserve"> PAGE   \* MERGEFORMAT </w:instrText>
        </w:r>
        <w:r w:rsidRPr="003148E7">
          <w:rPr>
            <w:sz w:val="28"/>
            <w:szCs w:val="28"/>
          </w:rPr>
          <w:fldChar w:fldCharType="separate"/>
        </w:r>
        <w:r w:rsidR="00471A1C" w:rsidRPr="00471A1C">
          <w:rPr>
            <w:noProof/>
            <w:sz w:val="28"/>
            <w:szCs w:val="28"/>
            <w:lang w:val="zh-CN"/>
          </w:rPr>
          <w:t>4</w:t>
        </w:r>
        <w:r w:rsidRPr="003148E7">
          <w:rPr>
            <w:sz w:val="28"/>
            <w:szCs w:val="28"/>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0BF7" w:rsidRDefault="00290BF7" w:rsidP="00AD5C43">
      <w:r>
        <w:separator/>
      </w:r>
    </w:p>
  </w:footnote>
  <w:footnote w:type="continuationSeparator" w:id="1">
    <w:p w:rsidR="00290BF7" w:rsidRDefault="00290BF7" w:rsidP="00AD5C4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E3F85"/>
    <w:rsid w:val="000B0AE3"/>
    <w:rsid w:val="00105287"/>
    <w:rsid w:val="00257FAE"/>
    <w:rsid w:val="00271EA1"/>
    <w:rsid w:val="00290BF7"/>
    <w:rsid w:val="003148E7"/>
    <w:rsid w:val="00410F6D"/>
    <w:rsid w:val="00461207"/>
    <w:rsid w:val="00471A1C"/>
    <w:rsid w:val="006D4EE0"/>
    <w:rsid w:val="006D520B"/>
    <w:rsid w:val="006F3F7A"/>
    <w:rsid w:val="007140CA"/>
    <w:rsid w:val="00777DE2"/>
    <w:rsid w:val="007962D1"/>
    <w:rsid w:val="00831B3E"/>
    <w:rsid w:val="00941A32"/>
    <w:rsid w:val="00A44D3F"/>
    <w:rsid w:val="00A67EF4"/>
    <w:rsid w:val="00AD5C43"/>
    <w:rsid w:val="00AE3F85"/>
    <w:rsid w:val="00AE5095"/>
    <w:rsid w:val="00C70738"/>
    <w:rsid w:val="00CC1B4B"/>
    <w:rsid w:val="00CF1891"/>
    <w:rsid w:val="00D64030"/>
    <w:rsid w:val="00DA04B8"/>
    <w:rsid w:val="00E9451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7FA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E3F85"/>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semiHidden/>
    <w:unhideWhenUsed/>
    <w:rsid w:val="00AD5C4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AD5C43"/>
    <w:rPr>
      <w:sz w:val="18"/>
      <w:szCs w:val="18"/>
    </w:rPr>
  </w:style>
  <w:style w:type="paragraph" w:styleId="a5">
    <w:name w:val="footer"/>
    <w:basedOn w:val="a"/>
    <w:link w:val="Char0"/>
    <w:uiPriority w:val="99"/>
    <w:unhideWhenUsed/>
    <w:rsid w:val="00AD5C43"/>
    <w:pPr>
      <w:tabs>
        <w:tab w:val="center" w:pos="4153"/>
        <w:tab w:val="right" w:pos="8306"/>
      </w:tabs>
      <w:snapToGrid w:val="0"/>
      <w:jc w:val="left"/>
    </w:pPr>
    <w:rPr>
      <w:sz w:val="18"/>
      <w:szCs w:val="18"/>
    </w:rPr>
  </w:style>
  <w:style w:type="character" w:customStyle="1" w:styleId="Char0">
    <w:name w:val="页脚 Char"/>
    <w:basedOn w:val="a0"/>
    <w:link w:val="a5"/>
    <w:uiPriority w:val="99"/>
    <w:rsid w:val="00AD5C43"/>
    <w:rPr>
      <w:sz w:val="18"/>
      <w:szCs w:val="18"/>
    </w:rPr>
  </w:style>
  <w:style w:type="paragraph" w:styleId="a6">
    <w:name w:val="Title"/>
    <w:basedOn w:val="a"/>
    <w:next w:val="a"/>
    <w:link w:val="Char1"/>
    <w:qFormat/>
    <w:rsid w:val="00AD5C43"/>
    <w:pPr>
      <w:spacing w:before="240" w:after="60"/>
      <w:jc w:val="center"/>
      <w:outlineLvl w:val="0"/>
    </w:pPr>
    <w:rPr>
      <w:rFonts w:ascii="Calibri Light" w:eastAsia="宋体" w:hAnsi="Calibri Light" w:cs="Times New Roman"/>
      <w:b/>
      <w:bCs/>
      <w:sz w:val="32"/>
      <w:szCs w:val="32"/>
    </w:rPr>
  </w:style>
  <w:style w:type="character" w:customStyle="1" w:styleId="Char1">
    <w:name w:val="标题 Char"/>
    <w:basedOn w:val="a0"/>
    <w:link w:val="a6"/>
    <w:rsid w:val="00AD5C43"/>
    <w:rPr>
      <w:rFonts w:ascii="Calibri Light" w:eastAsia="宋体" w:hAnsi="Calibri Light" w:cs="Times New Roman"/>
      <w:b/>
      <w:bCs/>
      <w:sz w:val="32"/>
      <w:szCs w:val="32"/>
    </w:rPr>
  </w:style>
</w:styles>
</file>

<file path=word/webSettings.xml><?xml version="1.0" encoding="utf-8"?>
<w:webSettings xmlns:r="http://schemas.openxmlformats.org/officeDocument/2006/relationships" xmlns:w="http://schemas.openxmlformats.org/wordprocessingml/2006/main">
  <w:divs>
    <w:div w:id="40517337">
      <w:bodyDiv w:val="1"/>
      <w:marLeft w:val="0"/>
      <w:marRight w:val="0"/>
      <w:marTop w:val="0"/>
      <w:marBottom w:val="0"/>
      <w:divBdr>
        <w:top w:val="none" w:sz="0" w:space="0" w:color="auto"/>
        <w:left w:val="none" w:sz="0" w:space="0" w:color="auto"/>
        <w:bottom w:val="none" w:sz="0" w:space="0" w:color="auto"/>
        <w:right w:val="none" w:sz="0" w:space="0" w:color="auto"/>
      </w:divBdr>
    </w:div>
    <w:div w:id="2057391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532</TotalTime>
  <Pages>9</Pages>
  <Words>648</Words>
  <Characters>3700</Characters>
  <Application>Microsoft Office Word</Application>
  <DocSecurity>0</DocSecurity>
  <Lines>30</Lines>
  <Paragraphs>8</Paragraphs>
  <ScaleCrop>false</ScaleCrop>
  <Company/>
  <LinksUpToDate>false</LinksUpToDate>
  <CharactersWithSpaces>4340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dc:creator>
  <cp:keywords/>
  <dc:description/>
  <cp:lastModifiedBy>DELL</cp:lastModifiedBy>
  <cp:revision>22</cp:revision>
  <cp:lastPrinted>2023-09-18T08:04:00Z</cp:lastPrinted>
  <dcterms:created xsi:type="dcterms:W3CDTF">2023-07-14T08:57:00Z</dcterms:created>
  <dcterms:modified xsi:type="dcterms:W3CDTF">2023-10-12T00:58:00Z</dcterms:modified>
</cp:coreProperties>
</file>