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80" w:lineRule="exact"/>
        <w:ind w:firstLine="0" w:firstLineChars="0"/>
        <w:jc w:val="both"/>
        <w:textAlignment w:val="auto"/>
        <w:rPr>
          <w:rFonts w:hint="eastAsia" w:ascii="华文中宋" w:hAnsi="华文中宋" w:eastAsia="华文中宋" w:cs="华文中宋"/>
          <w:sz w:val="44"/>
          <w:szCs w:val="44"/>
        </w:rPr>
      </w:pPr>
      <w:r>
        <w:rPr>
          <w:rFonts w:hint="eastAsia" w:ascii="华文中宋" w:hAnsi="华文中宋" w:eastAsia="华文中宋" w:cs="华文中宋"/>
          <w:sz w:val="44"/>
          <w:szCs w:val="44"/>
        </w:rPr>
        <w:t>关于《瓦房店市人民政府关于废止瓦政发〔2017〕46号文件的通知》的政策解读</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0" w:firstLineChars="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bookmarkStart w:id="0" w:name="_GoBack"/>
      <w:bookmarkEnd w:id="0"/>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一、起草背景</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该方案中部分政策已不再施行。</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二、制定依据</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经市政府十届第二十二次常务会议研究决定。</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三、主要内容</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废止《瓦房店市人民政府关于印发瓦房店市客运出租市场专项整治活动实施方案的通知》（瓦政发〔2017〕46号）文件。</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四、政策解读联系方式</w:t>
      </w:r>
    </w:p>
    <w:p>
      <w:pPr>
        <w:keepNext w:val="0"/>
        <w:keepLines w:val="0"/>
        <w:pageBreakBefore w:val="0"/>
        <w:widowControl w:val="0"/>
        <w:suppressLineNumbers w:val="0"/>
        <w:shd w:val="clear" w:fill="FFFFFF"/>
        <w:kinsoku/>
        <w:wordWrap/>
        <w:overflowPunct w:val="0"/>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瓦房店市交通运输局，都扬：0411-85573099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3MGRhZDc0MTkzMDlhMmRiZTE5MTExODg4NTc4ODAifQ=="/>
  </w:docVars>
  <w:rsids>
    <w:rsidRoot w:val="00000000"/>
    <w:rsid w:val="4CAA5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2023-06-21T01:21:14Z</dcterms:created>
  <dc:creator>Administrator</dc:creator>
  <cp:lastModifiedBy>Administrator</cp:lastModifiedBy>
  <dcterms:modified xsi:type="dcterms:W3CDTF">2023-06-21T01:28:40Z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69B442DB5A75460FBE41F63FC5238AB3</vt:lpwstr>
  </property>
</Properties>
</file>