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b/>
          <w:bCs/>
          <w:kern w:val="0"/>
          <w:sz w:val="44"/>
          <w:szCs w:val="44"/>
          <w:lang w:eastAsia="zh-CN"/>
        </w:rPr>
      </w:pPr>
    </w:p>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b/>
          <w:bCs/>
          <w:kern w:val="0"/>
          <w:sz w:val="44"/>
          <w:szCs w:val="44"/>
          <w:lang w:val="en-US" w:eastAsia="zh-CN"/>
        </w:rPr>
      </w:pPr>
      <w:r>
        <w:rPr>
          <w:rFonts w:hint="eastAsia" w:ascii="仿宋" w:hAnsi="仿宋" w:eastAsia="仿宋" w:cs="仿宋"/>
          <w:b/>
          <w:bCs/>
          <w:kern w:val="0"/>
          <w:sz w:val="44"/>
          <w:szCs w:val="44"/>
          <w:lang w:eastAsia="zh-CN"/>
        </w:rPr>
        <w:t>瓦房店市</w:t>
      </w:r>
      <w:r>
        <w:rPr>
          <w:rFonts w:hint="eastAsia" w:ascii="仿宋" w:hAnsi="仿宋" w:eastAsia="仿宋" w:cs="仿宋"/>
          <w:b/>
          <w:bCs/>
          <w:kern w:val="0"/>
          <w:sz w:val="44"/>
          <w:szCs w:val="44"/>
          <w:lang w:val="en-US" w:eastAsia="zh-CN"/>
        </w:rPr>
        <w:t>2023年市直机关涉企行政执法检查计划表</w:t>
      </w:r>
    </w:p>
    <w:tbl>
      <w:tblPr>
        <w:tblStyle w:val="8"/>
        <w:tblpPr w:leftFromText="180" w:rightFromText="180" w:vertAnchor="text" w:horzAnchor="page" w:tblpX="711" w:tblpY="223"/>
        <w:tblOverlap w:val="never"/>
        <w:tblW w:w="156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1743"/>
        <w:gridCol w:w="1505"/>
        <w:gridCol w:w="2550"/>
        <w:gridCol w:w="5013"/>
        <w:gridCol w:w="1381"/>
        <w:gridCol w:w="1400"/>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eastAsia="宋体"/>
                <w:vertAlign w:val="baseline"/>
                <w:lang w:eastAsia="zh-CN"/>
              </w:rPr>
            </w:pPr>
            <w:r>
              <w:rPr>
                <w:rFonts w:hint="eastAsia" w:ascii="仿宋" w:hAnsi="仿宋" w:eastAsia="仿宋" w:cs="仿宋"/>
                <w:kern w:val="0"/>
                <w:sz w:val="32"/>
                <w:szCs w:val="32"/>
              </w:rPr>
              <w:t>序号</w:t>
            </w: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vertAlign w:val="baseline"/>
              </w:rPr>
            </w:pPr>
            <w:r>
              <w:rPr>
                <w:rFonts w:hint="eastAsia" w:ascii="仿宋" w:hAnsi="仿宋" w:eastAsia="仿宋" w:cs="仿宋"/>
                <w:kern w:val="0"/>
                <w:sz w:val="32"/>
                <w:szCs w:val="32"/>
              </w:rPr>
              <w:t>执法机关</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vertAlign w:val="baseline"/>
              </w:rPr>
            </w:pPr>
            <w:r>
              <w:rPr>
                <w:rFonts w:hint="eastAsia" w:ascii="仿宋" w:hAnsi="仿宋" w:eastAsia="仿宋" w:cs="仿宋"/>
                <w:kern w:val="0"/>
                <w:sz w:val="32"/>
                <w:szCs w:val="32"/>
              </w:rPr>
              <w:t>检查对象</w:t>
            </w:r>
          </w:p>
        </w:tc>
        <w:tc>
          <w:tcPr>
            <w:tcW w:w="255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vertAlign w:val="baseline"/>
              </w:rPr>
            </w:pPr>
            <w:r>
              <w:rPr>
                <w:rFonts w:hint="eastAsia" w:ascii="仿宋" w:hAnsi="仿宋" w:eastAsia="仿宋" w:cs="仿宋"/>
                <w:kern w:val="0"/>
                <w:sz w:val="32"/>
                <w:szCs w:val="32"/>
              </w:rPr>
              <w:t>检查</w:t>
            </w:r>
            <w:r>
              <w:rPr>
                <w:rFonts w:hint="eastAsia" w:ascii="仿宋" w:hAnsi="仿宋" w:eastAsia="仿宋" w:cs="仿宋"/>
                <w:kern w:val="0"/>
                <w:sz w:val="32"/>
                <w:szCs w:val="32"/>
                <w:lang w:eastAsia="zh-CN"/>
              </w:rPr>
              <w:t>内容</w:t>
            </w:r>
          </w:p>
        </w:tc>
        <w:tc>
          <w:tcPr>
            <w:tcW w:w="501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vertAlign w:val="baseline"/>
              </w:rPr>
            </w:pPr>
            <w:r>
              <w:rPr>
                <w:rFonts w:hint="eastAsia" w:ascii="仿宋" w:hAnsi="仿宋" w:eastAsia="仿宋" w:cs="仿宋"/>
                <w:kern w:val="0"/>
                <w:sz w:val="32"/>
                <w:szCs w:val="32"/>
              </w:rPr>
              <w:t>检查依据</w:t>
            </w:r>
          </w:p>
        </w:tc>
        <w:tc>
          <w:tcPr>
            <w:tcW w:w="1381"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检查</w:t>
            </w:r>
          </w:p>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vertAlign w:val="baseline"/>
              </w:rPr>
            </w:pPr>
            <w:r>
              <w:rPr>
                <w:rFonts w:hint="eastAsia" w:ascii="仿宋" w:hAnsi="仿宋" w:eastAsia="仿宋" w:cs="仿宋"/>
                <w:kern w:val="0"/>
                <w:sz w:val="32"/>
                <w:szCs w:val="32"/>
                <w:lang w:eastAsia="zh-CN"/>
              </w:rPr>
              <w:t>时间</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检查</w:t>
            </w:r>
          </w:p>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vertAlign w:val="baseline"/>
              </w:rPr>
            </w:pPr>
            <w:r>
              <w:rPr>
                <w:rFonts w:hint="eastAsia" w:ascii="仿宋" w:hAnsi="仿宋" w:eastAsia="仿宋" w:cs="仿宋"/>
                <w:kern w:val="0"/>
                <w:sz w:val="32"/>
                <w:szCs w:val="32"/>
                <w:lang w:eastAsia="zh-CN"/>
              </w:rPr>
              <w:t>方式</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联合</w:t>
            </w:r>
          </w:p>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vertAlign w:val="baseline"/>
              </w:rPr>
            </w:pPr>
            <w:r>
              <w:rPr>
                <w:rFonts w:hint="eastAsia" w:ascii="仿宋" w:hAnsi="仿宋" w:eastAsia="仿宋" w:cs="仿宋"/>
                <w:kern w:val="0"/>
                <w:sz w:val="32"/>
                <w:szCs w:val="32"/>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2"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vertAlign w:val="baseline"/>
              </w:rPr>
            </w:pPr>
            <w:r>
              <w:rPr>
                <w:rFonts w:hint="eastAsia" w:ascii="宋体" w:hAnsi="宋体" w:cs="宋体"/>
                <w:kern w:val="0"/>
                <w:sz w:val="24"/>
                <w:szCs w:val="24"/>
              </w:rPr>
              <w:t>　</w:t>
            </w:r>
            <w:r>
              <w:rPr>
                <w:rFonts w:hint="eastAsia" w:ascii="宋体" w:hAnsi="宋体" w:cs="宋体"/>
                <w:kern w:val="0"/>
                <w:sz w:val="24"/>
                <w:szCs w:val="24"/>
                <w:lang w:val="en-US" w:eastAsia="zh-CN"/>
              </w:rPr>
              <w:t>1</w:t>
            </w: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color w:val="auto"/>
                <w:kern w:val="0"/>
                <w:sz w:val="21"/>
                <w:szCs w:val="21"/>
              </w:rPr>
              <w:t>瓦房店市文化</w:t>
            </w:r>
            <w:r>
              <w:rPr>
                <w:rFonts w:hint="eastAsia" w:ascii="仿宋" w:hAnsi="仿宋" w:eastAsia="仿宋" w:cs="仿宋"/>
                <w:color w:val="auto"/>
                <w:kern w:val="0"/>
                <w:sz w:val="21"/>
                <w:szCs w:val="21"/>
                <w:lang w:eastAsia="zh-CN"/>
              </w:rPr>
              <w:t>和旅游</w:t>
            </w:r>
            <w:r>
              <w:rPr>
                <w:rFonts w:hint="eastAsia" w:ascii="仿宋" w:hAnsi="仿宋" w:eastAsia="仿宋" w:cs="仿宋"/>
                <w:color w:val="auto"/>
                <w:kern w:val="0"/>
                <w:sz w:val="21"/>
                <w:szCs w:val="21"/>
              </w:rPr>
              <w:t>局（文化市场综合</w:t>
            </w:r>
            <w:r>
              <w:rPr>
                <w:rFonts w:hint="eastAsia" w:ascii="仿宋" w:hAnsi="仿宋" w:eastAsia="仿宋" w:cs="仿宋"/>
                <w:color w:val="auto"/>
                <w:kern w:val="0"/>
                <w:sz w:val="21"/>
                <w:szCs w:val="21"/>
                <w:lang w:eastAsia="zh-CN"/>
              </w:rPr>
              <w:t>行政</w:t>
            </w:r>
            <w:r>
              <w:rPr>
                <w:rFonts w:hint="eastAsia" w:ascii="仿宋" w:hAnsi="仿宋" w:eastAsia="仿宋" w:cs="仿宋"/>
                <w:color w:val="auto"/>
                <w:kern w:val="0"/>
                <w:sz w:val="21"/>
                <w:szCs w:val="21"/>
              </w:rPr>
              <w:t>执法队）</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color w:val="auto"/>
                <w:kern w:val="0"/>
                <w:sz w:val="21"/>
                <w:szCs w:val="21"/>
              </w:rPr>
              <w:t>互联网上网服务营业场所（网吧）</w:t>
            </w:r>
          </w:p>
        </w:tc>
        <w:tc>
          <w:tcPr>
            <w:tcW w:w="2550" w:type="dxa"/>
            <w:vAlign w:val="center"/>
          </w:tcPr>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1.未悬挂《网络文化经营许可证》或者未成年人禁入标志的；</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2.接纳未成年进入营业场所的；</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3擅自停止实施经营管理技术措施的；</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4经营非网络游戏的；</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5未按规定核对登记上网消费者的有效身份证件或有关上网信息的；</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color w:val="auto"/>
                <w:sz w:val="21"/>
                <w:szCs w:val="21"/>
              </w:rPr>
              <w:t>6在规定的营业时间以外营业的等行为。</w:t>
            </w:r>
          </w:p>
        </w:tc>
        <w:tc>
          <w:tcPr>
            <w:tcW w:w="5013" w:type="dxa"/>
            <w:vAlign w:val="center"/>
          </w:tcPr>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《互联网上网服务营业场所管理条例》</w:t>
            </w:r>
          </w:p>
          <w:p>
            <w:pPr>
              <w:spacing w:line="240" w:lineRule="auto"/>
              <w:jc w:val="both"/>
              <w:rPr>
                <w:rFonts w:hint="eastAsia" w:ascii="仿宋" w:hAnsi="仿宋" w:eastAsia="仿宋" w:cs="仿宋"/>
                <w:color w:val="auto"/>
                <w:sz w:val="21"/>
                <w:szCs w:val="21"/>
              </w:rPr>
            </w:pPr>
            <w:r>
              <w:rPr>
                <w:rFonts w:hint="eastAsia" w:ascii="仿宋" w:hAnsi="仿宋" w:eastAsia="仿宋" w:cs="仿宋"/>
                <w:bCs/>
                <w:color w:val="auto"/>
                <w:sz w:val="21"/>
                <w:szCs w:val="21"/>
              </w:rPr>
              <w:t>第十七条</w:t>
            </w:r>
            <w:r>
              <w:rPr>
                <w:rFonts w:hint="eastAsia" w:ascii="仿宋" w:hAnsi="仿宋" w:eastAsia="仿宋" w:cs="仿宋"/>
                <w:color w:val="auto"/>
                <w:sz w:val="21"/>
                <w:szCs w:val="21"/>
              </w:rPr>
              <w:t>.互联网上网服务营业场所经营单位不得经营非网络游戏。</w:t>
            </w:r>
          </w:p>
          <w:p>
            <w:pPr>
              <w:spacing w:line="240" w:lineRule="auto"/>
              <w:jc w:val="both"/>
              <w:rPr>
                <w:rFonts w:hint="eastAsia" w:ascii="仿宋" w:hAnsi="仿宋" w:eastAsia="仿宋" w:cs="仿宋"/>
                <w:color w:val="auto"/>
                <w:sz w:val="21"/>
                <w:szCs w:val="21"/>
              </w:rPr>
            </w:pPr>
            <w:r>
              <w:rPr>
                <w:rFonts w:hint="eastAsia" w:ascii="仿宋" w:hAnsi="仿宋" w:eastAsia="仿宋" w:cs="仿宋"/>
                <w:bCs/>
                <w:color w:val="auto"/>
                <w:sz w:val="21"/>
                <w:szCs w:val="21"/>
              </w:rPr>
              <w:t>第十九条</w:t>
            </w:r>
            <w:r>
              <w:rPr>
                <w:rFonts w:hint="eastAsia" w:ascii="仿宋" w:hAnsi="仿宋" w:eastAsia="仿宋" w:cs="仿宋"/>
                <w:color w:val="auto"/>
                <w:sz w:val="21"/>
                <w:szCs w:val="21"/>
              </w:rPr>
              <w:t>.互联网上网服务营业场所经营单位应当实施经营管理技术措施，建立场内巡查制度，发现上网消费者有本条例第十四条、第十五条、第十八条所列行为或者有其他违法行为的，应当立即予以制止并向文化行政部门、公安机关举报。</w:t>
            </w:r>
          </w:p>
          <w:p>
            <w:pPr>
              <w:pStyle w:val="9"/>
              <w:spacing w:before="0" w:beforeAutospacing="0" w:after="0" w:afterAutospacing="0" w:line="240" w:lineRule="auto"/>
              <w:jc w:val="both"/>
              <w:rPr>
                <w:rFonts w:hint="eastAsia" w:ascii="仿宋" w:hAnsi="仿宋" w:eastAsia="仿宋" w:cs="仿宋"/>
                <w:color w:val="auto"/>
                <w:kern w:val="2"/>
                <w:sz w:val="21"/>
                <w:szCs w:val="21"/>
              </w:rPr>
            </w:pPr>
            <w:r>
              <w:rPr>
                <w:rFonts w:hint="eastAsia" w:ascii="仿宋" w:hAnsi="仿宋" w:eastAsia="仿宋" w:cs="仿宋"/>
                <w:bCs/>
                <w:color w:val="auto"/>
                <w:kern w:val="2"/>
                <w:sz w:val="21"/>
                <w:szCs w:val="21"/>
              </w:rPr>
              <w:t>第二十条</w:t>
            </w:r>
            <w:r>
              <w:rPr>
                <w:rFonts w:hint="eastAsia" w:ascii="仿宋" w:hAnsi="仿宋" w:eastAsia="仿宋" w:cs="仿宋"/>
                <w:color w:val="auto"/>
                <w:kern w:val="2"/>
                <w:sz w:val="21"/>
                <w:szCs w:val="21"/>
              </w:rPr>
              <w:t>.互联网上网服务营业场所经营单位应当在营业场所的显著位置悬挂《网络文化经营许可证》和营业执照。</w:t>
            </w:r>
          </w:p>
          <w:p>
            <w:pPr>
              <w:pStyle w:val="9"/>
              <w:spacing w:before="0" w:beforeAutospacing="0" w:after="0" w:afterAutospacing="0" w:line="240" w:lineRule="auto"/>
              <w:jc w:val="both"/>
              <w:rPr>
                <w:rFonts w:hint="eastAsia" w:ascii="仿宋" w:hAnsi="仿宋" w:eastAsia="仿宋" w:cs="仿宋"/>
                <w:color w:val="auto"/>
                <w:kern w:val="2"/>
                <w:sz w:val="21"/>
                <w:szCs w:val="21"/>
              </w:rPr>
            </w:pPr>
            <w:r>
              <w:rPr>
                <w:rFonts w:hint="eastAsia" w:ascii="仿宋" w:hAnsi="仿宋" w:eastAsia="仿宋" w:cs="仿宋"/>
                <w:bCs/>
                <w:color w:val="auto"/>
                <w:kern w:val="2"/>
                <w:sz w:val="21"/>
                <w:szCs w:val="21"/>
              </w:rPr>
              <w:t>第二十一条</w:t>
            </w:r>
            <w:r>
              <w:rPr>
                <w:rFonts w:hint="eastAsia" w:ascii="仿宋" w:hAnsi="仿宋" w:eastAsia="仿宋" w:cs="仿宋"/>
                <w:color w:val="auto"/>
                <w:kern w:val="2"/>
                <w:sz w:val="21"/>
                <w:szCs w:val="21"/>
              </w:rPr>
              <w:t>.互联网上网服务营业场所经营单位不得接纳未成年人进入营业场所。互联网上网服务营业场所经营单位应当在营业场所入口处的显著位置悬挂未成年人禁入标志。</w:t>
            </w:r>
          </w:p>
          <w:p>
            <w:pPr>
              <w:spacing w:line="240" w:lineRule="auto"/>
              <w:jc w:val="both"/>
              <w:rPr>
                <w:rFonts w:hint="eastAsia" w:ascii="仿宋" w:hAnsi="仿宋" w:eastAsia="仿宋" w:cs="仿宋"/>
                <w:sz w:val="21"/>
                <w:szCs w:val="21"/>
                <w:vertAlign w:val="baseline"/>
              </w:rPr>
            </w:pPr>
            <w:r>
              <w:rPr>
                <w:rFonts w:hint="eastAsia" w:ascii="仿宋" w:hAnsi="仿宋" w:eastAsia="仿宋" w:cs="仿宋"/>
                <w:bCs/>
                <w:color w:val="auto"/>
                <w:kern w:val="2"/>
                <w:sz w:val="21"/>
                <w:szCs w:val="21"/>
              </w:rPr>
              <w:t>第二十三条</w:t>
            </w:r>
            <w:r>
              <w:rPr>
                <w:rFonts w:hint="eastAsia" w:ascii="仿宋" w:hAnsi="仿宋" w:eastAsia="仿宋" w:cs="仿宋"/>
                <w:color w:val="auto"/>
                <w:kern w:val="2"/>
                <w:sz w:val="21"/>
                <w:szCs w:val="21"/>
              </w:rPr>
              <w:t>.互联网上网服务营业场所经营单位应当对上网消费者的身份证等有效证件进行核对、登记，并记录有关上网信息。登记内容和记录备份保存时间不得少于60日，并在文化行政部门、公安机关依法查询时予以提供。登记内容和记录备份在保存期内不得修改或者删除。</w:t>
            </w:r>
          </w:p>
        </w:tc>
        <w:tc>
          <w:tcPr>
            <w:tcW w:w="1381" w:type="dxa"/>
            <w:vAlign w:val="center"/>
          </w:tcPr>
          <w:p>
            <w:pPr>
              <w:spacing w:line="240" w:lineRule="auto"/>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lang w:val="en-US" w:eastAsia="zh-CN"/>
              </w:rPr>
              <w:t>2023年5</w:t>
            </w:r>
            <w:r>
              <w:rPr>
                <w:rFonts w:hint="eastAsia" w:ascii="仿宋" w:hAnsi="仿宋" w:eastAsia="仿宋" w:cs="仿宋"/>
                <w:color w:val="auto"/>
                <w:kern w:val="0"/>
                <w:sz w:val="21"/>
                <w:szCs w:val="21"/>
              </w:rPr>
              <w:t>-</w:t>
            </w:r>
            <w:r>
              <w:rPr>
                <w:rFonts w:hint="eastAsia" w:ascii="仿宋" w:hAnsi="仿宋" w:eastAsia="仿宋" w:cs="仿宋"/>
                <w:color w:val="auto"/>
                <w:kern w:val="0"/>
                <w:sz w:val="21"/>
                <w:szCs w:val="21"/>
                <w:lang w:val="en-US" w:eastAsia="zh-CN"/>
              </w:rPr>
              <w:t>6</w:t>
            </w:r>
            <w:r>
              <w:rPr>
                <w:rFonts w:hint="eastAsia" w:ascii="仿宋" w:hAnsi="仿宋" w:eastAsia="仿宋" w:cs="仿宋"/>
                <w:color w:val="auto"/>
                <w:kern w:val="0"/>
                <w:sz w:val="21"/>
                <w:szCs w:val="21"/>
              </w:rPr>
              <w:t>月</w:t>
            </w:r>
          </w:p>
          <w:p>
            <w:pPr>
              <w:spacing w:line="240" w:lineRule="auto"/>
              <w:jc w:val="center"/>
              <w:rPr>
                <w:rFonts w:hint="eastAsia" w:ascii="仿宋" w:hAnsi="仿宋" w:eastAsia="仿宋" w:cs="仿宋"/>
                <w:sz w:val="21"/>
                <w:szCs w:val="21"/>
                <w:vertAlign w:val="baseline"/>
              </w:rPr>
            </w:pPr>
            <w:r>
              <w:rPr>
                <w:rFonts w:hint="eastAsia" w:ascii="仿宋" w:hAnsi="仿宋" w:eastAsia="仿宋" w:cs="仿宋"/>
                <w:color w:val="auto"/>
                <w:kern w:val="0"/>
                <w:sz w:val="21"/>
                <w:szCs w:val="21"/>
                <w:lang w:val="en-US" w:eastAsia="zh-CN"/>
              </w:rPr>
              <w:t>2023年8</w:t>
            </w:r>
            <w:r>
              <w:rPr>
                <w:rFonts w:hint="eastAsia" w:ascii="仿宋" w:hAnsi="仿宋" w:eastAsia="仿宋" w:cs="仿宋"/>
                <w:color w:val="auto"/>
                <w:kern w:val="0"/>
                <w:sz w:val="21"/>
                <w:szCs w:val="21"/>
              </w:rPr>
              <w:t>-9月</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sz w:val="21"/>
                <w:szCs w:val="21"/>
                <w:vertAlign w:val="baseline"/>
              </w:rPr>
            </w:pPr>
            <w:r>
              <w:rPr>
                <w:rFonts w:hint="eastAsia" w:ascii="仿宋" w:hAnsi="仿宋" w:eastAsia="仿宋" w:cs="仿宋"/>
                <w:color w:val="auto"/>
                <w:kern w:val="0"/>
                <w:sz w:val="21"/>
                <w:szCs w:val="21"/>
              </w:rPr>
              <w:t>现场调阅审</w:t>
            </w:r>
            <w:bookmarkStart w:id="0" w:name="_GoBack"/>
            <w:bookmarkEnd w:id="0"/>
            <w:r>
              <w:rPr>
                <w:rFonts w:hint="eastAsia" w:ascii="仿宋" w:hAnsi="仿宋" w:eastAsia="仿宋" w:cs="仿宋"/>
                <w:color w:val="auto"/>
                <w:kern w:val="0"/>
                <w:sz w:val="21"/>
                <w:szCs w:val="21"/>
              </w:rPr>
              <w:t>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vertAlign w:val="baseline"/>
              </w:rPr>
            </w:pPr>
            <w:r>
              <w:rPr>
                <w:rFonts w:hint="eastAsia" w:ascii="宋体" w:hAnsi="宋体" w:cs="宋体"/>
                <w:kern w:val="0"/>
                <w:sz w:val="24"/>
                <w:szCs w:val="24"/>
              </w:rPr>
              <w:t>　</w:t>
            </w: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color w:val="auto"/>
                <w:kern w:val="0"/>
                <w:sz w:val="21"/>
                <w:szCs w:val="21"/>
              </w:rPr>
              <w:t>瓦房店市文化</w:t>
            </w:r>
            <w:r>
              <w:rPr>
                <w:rFonts w:hint="eastAsia" w:ascii="仿宋" w:hAnsi="仿宋" w:eastAsia="仿宋" w:cs="仿宋"/>
                <w:color w:val="auto"/>
                <w:kern w:val="0"/>
                <w:sz w:val="21"/>
                <w:szCs w:val="21"/>
                <w:lang w:eastAsia="zh-CN"/>
              </w:rPr>
              <w:t>和旅游</w:t>
            </w:r>
            <w:r>
              <w:rPr>
                <w:rFonts w:hint="eastAsia" w:ascii="仿宋" w:hAnsi="仿宋" w:eastAsia="仿宋" w:cs="仿宋"/>
                <w:color w:val="auto"/>
                <w:kern w:val="0"/>
                <w:sz w:val="21"/>
                <w:szCs w:val="21"/>
              </w:rPr>
              <w:t>局（文化市场综合</w:t>
            </w:r>
            <w:r>
              <w:rPr>
                <w:rFonts w:hint="eastAsia" w:ascii="仿宋" w:hAnsi="仿宋" w:eastAsia="仿宋" w:cs="仿宋"/>
                <w:color w:val="auto"/>
                <w:kern w:val="0"/>
                <w:sz w:val="21"/>
                <w:szCs w:val="21"/>
                <w:lang w:eastAsia="zh-CN"/>
              </w:rPr>
              <w:t>行政</w:t>
            </w:r>
            <w:r>
              <w:rPr>
                <w:rFonts w:hint="eastAsia" w:ascii="仿宋" w:hAnsi="仿宋" w:eastAsia="仿宋" w:cs="仿宋"/>
                <w:color w:val="auto"/>
                <w:kern w:val="0"/>
                <w:sz w:val="21"/>
                <w:szCs w:val="21"/>
              </w:rPr>
              <w:t>执法队）</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kern w:val="0"/>
                <w:sz w:val="21"/>
                <w:szCs w:val="21"/>
              </w:rPr>
              <w:t>　</w:t>
            </w:r>
            <w:r>
              <w:rPr>
                <w:rFonts w:hint="eastAsia" w:ascii="仿宋" w:hAnsi="仿宋" w:eastAsia="仿宋" w:cs="仿宋"/>
                <w:color w:val="auto"/>
                <w:sz w:val="21"/>
                <w:szCs w:val="21"/>
              </w:rPr>
              <w:t>娱乐场所</w:t>
            </w:r>
          </w:p>
        </w:tc>
        <w:tc>
          <w:tcPr>
            <w:tcW w:w="2550" w:type="dxa"/>
            <w:vAlign w:val="center"/>
          </w:tcPr>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1.歌舞娱乐场所播放的曲目和屏幕画面以及游艺娱乐场所的电子游戏机内的游戏项目，是否含有禁止内容。歌舞娱乐场所使用的歌曲点播系统是否与境外曲库连接。</w:t>
            </w:r>
          </w:p>
          <w:p>
            <w:pPr>
              <w:spacing w:line="240" w:lineRule="auto"/>
              <w:jc w:val="both"/>
              <w:rPr>
                <w:rFonts w:hint="eastAsia" w:ascii="仿宋" w:hAnsi="仿宋" w:eastAsia="仿宋" w:cs="仿宋"/>
                <w:color w:val="auto"/>
                <w:sz w:val="21"/>
                <w:szCs w:val="21"/>
                <w:shd w:val="clear" w:color="auto" w:fill="FFFFFF"/>
              </w:rPr>
            </w:pPr>
            <w:r>
              <w:rPr>
                <w:rFonts w:hint="eastAsia" w:ascii="仿宋" w:hAnsi="仿宋" w:eastAsia="仿宋" w:cs="仿宋"/>
                <w:color w:val="auto"/>
                <w:sz w:val="21"/>
                <w:szCs w:val="21"/>
              </w:rPr>
              <w:t>2.</w:t>
            </w:r>
            <w:r>
              <w:rPr>
                <w:rFonts w:hint="eastAsia" w:ascii="仿宋" w:hAnsi="仿宋" w:eastAsia="仿宋" w:cs="仿宋"/>
                <w:color w:val="auto"/>
                <w:sz w:val="21"/>
                <w:szCs w:val="21"/>
                <w:shd w:val="clear" w:color="auto" w:fill="FFFFFF"/>
              </w:rPr>
              <w:t xml:space="preserve"> 歌舞娱乐场所是否接纳未成年人。除国家法定节假日外，游艺娱乐场所设置的电子游戏机是否向未成年人提供。</w:t>
            </w:r>
          </w:p>
          <w:p>
            <w:pPr>
              <w:spacing w:line="240" w:lineRule="auto"/>
              <w:jc w:val="both"/>
              <w:rPr>
                <w:rFonts w:hint="eastAsia" w:ascii="仿宋" w:hAnsi="仿宋" w:eastAsia="仿宋" w:cs="仿宋"/>
                <w:color w:val="auto"/>
                <w:sz w:val="21"/>
                <w:szCs w:val="21"/>
                <w:shd w:val="clear" w:color="auto" w:fill="FFFFFF"/>
              </w:rPr>
            </w:pPr>
            <w:r>
              <w:rPr>
                <w:rFonts w:hint="eastAsia" w:ascii="仿宋" w:hAnsi="仿宋" w:eastAsia="仿宋" w:cs="仿宋"/>
                <w:color w:val="auto"/>
                <w:sz w:val="21"/>
                <w:szCs w:val="21"/>
                <w:shd w:val="clear" w:color="auto" w:fill="FFFFFF"/>
              </w:rPr>
              <w:t>3.娱乐场所是否超过规定时间营业。</w:t>
            </w:r>
          </w:p>
          <w:p>
            <w:pPr>
              <w:spacing w:line="240" w:lineRule="auto"/>
              <w:jc w:val="both"/>
              <w:rPr>
                <w:rFonts w:hint="eastAsia" w:ascii="仿宋" w:hAnsi="仿宋" w:eastAsia="仿宋" w:cs="仿宋"/>
                <w:color w:val="auto"/>
                <w:sz w:val="21"/>
                <w:szCs w:val="21"/>
                <w:shd w:val="clear" w:color="auto" w:fill="FFFFFF"/>
              </w:rPr>
            </w:pPr>
            <w:r>
              <w:rPr>
                <w:rFonts w:hint="eastAsia" w:ascii="仿宋" w:hAnsi="仿宋" w:eastAsia="仿宋" w:cs="仿宋"/>
                <w:color w:val="auto"/>
                <w:sz w:val="21"/>
                <w:szCs w:val="21"/>
                <w:shd w:val="clear" w:color="auto" w:fill="FFFFFF"/>
              </w:rPr>
              <w:t>4.娱乐场所是否在显著位置悬挂未成年人禁入或者限入标志。</w:t>
            </w:r>
          </w:p>
          <w:p>
            <w:pPr>
              <w:spacing w:line="240" w:lineRule="auto"/>
              <w:jc w:val="both"/>
              <w:rPr>
                <w:rFonts w:hint="eastAsia" w:ascii="仿宋" w:hAnsi="仿宋" w:eastAsia="仿宋" w:cs="仿宋"/>
                <w:color w:val="auto"/>
                <w:sz w:val="21"/>
                <w:szCs w:val="21"/>
                <w:shd w:val="clear" w:color="auto" w:fill="FFFFFF"/>
              </w:rPr>
            </w:pPr>
            <w:r>
              <w:rPr>
                <w:rFonts w:hint="eastAsia" w:ascii="仿宋" w:hAnsi="仿宋" w:eastAsia="仿宋" w:cs="仿宋"/>
                <w:color w:val="auto"/>
                <w:sz w:val="21"/>
                <w:szCs w:val="21"/>
                <w:shd w:val="clear" w:color="auto" w:fill="FFFFFF"/>
              </w:rPr>
              <w:t>5. 娱乐场所是否在显著位置悬挂《娱乐经营许可证》等相关证照。</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color w:val="auto"/>
                <w:sz w:val="21"/>
                <w:szCs w:val="21"/>
                <w:shd w:val="clear" w:color="auto" w:fill="FFFFFF"/>
              </w:rPr>
              <w:t>6.游艺娱乐场所的游戏游艺设备是否经过文化主管部门的内容核查。</w:t>
            </w:r>
          </w:p>
        </w:tc>
        <w:tc>
          <w:tcPr>
            <w:tcW w:w="5013" w:type="dxa"/>
            <w:vAlign w:val="center"/>
          </w:tcPr>
          <w:p>
            <w:pPr>
              <w:spacing w:line="240" w:lineRule="auto"/>
              <w:jc w:val="both"/>
              <w:rPr>
                <w:rStyle w:val="6"/>
                <w:rFonts w:hint="eastAsia" w:ascii="仿宋" w:hAnsi="仿宋" w:eastAsia="仿宋" w:cs="仿宋"/>
                <w:b w:val="0"/>
                <w:color w:val="auto"/>
                <w:sz w:val="21"/>
                <w:szCs w:val="21"/>
              </w:rPr>
            </w:pPr>
            <w:r>
              <w:rPr>
                <w:rStyle w:val="6"/>
                <w:rFonts w:hint="eastAsia" w:ascii="仿宋" w:hAnsi="仿宋" w:eastAsia="仿宋" w:cs="仿宋"/>
                <w:b w:val="0"/>
                <w:color w:val="auto"/>
                <w:sz w:val="21"/>
                <w:szCs w:val="21"/>
              </w:rPr>
              <w:t>《娱乐场所管理条例》</w:t>
            </w:r>
          </w:p>
          <w:p>
            <w:pPr>
              <w:pStyle w:val="4"/>
              <w:shd w:val="clear" w:color="auto"/>
              <w:spacing w:before="0" w:beforeAutospacing="0" w:after="0" w:afterAutospacing="0" w:line="240" w:lineRule="auto"/>
              <w:jc w:val="both"/>
              <w:rPr>
                <w:rFonts w:hint="eastAsia" w:ascii="仿宋" w:hAnsi="仿宋" w:eastAsia="仿宋" w:cs="仿宋"/>
                <w:color w:val="auto"/>
                <w:kern w:val="2"/>
                <w:sz w:val="21"/>
                <w:szCs w:val="21"/>
              </w:rPr>
            </w:pPr>
            <w:r>
              <w:rPr>
                <w:rFonts w:hint="eastAsia" w:ascii="仿宋" w:hAnsi="仿宋" w:eastAsia="仿宋" w:cs="仿宋"/>
                <w:color w:val="auto"/>
                <w:kern w:val="2"/>
                <w:sz w:val="21"/>
                <w:szCs w:val="21"/>
              </w:rPr>
              <w:t>第十八条.娱乐场所使用的音像制品或者电子游戏应当是依法出版、生产或者进口的产品。歌舞娱乐场所播放的曲目和屏幕画面以及游艺娱乐场所的电子游戏机内的游戏项目，不得含有本条例第十三条禁止的内容；歌舞娱乐场所使用的歌曲点播系统不得与境外的曲库联接。</w:t>
            </w:r>
          </w:p>
          <w:p>
            <w:pPr>
              <w:pStyle w:val="4"/>
              <w:shd w:val="clear" w:color="auto"/>
              <w:spacing w:before="0" w:beforeAutospacing="0" w:after="0" w:afterAutospacing="0" w:line="240" w:lineRule="auto"/>
              <w:jc w:val="both"/>
              <w:rPr>
                <w:rFonts w:hint="eastAsia" w:ascii="仿宋" w:hAnsi="仿宋" w:eastAsia="仿宋" w:cs="仿宋"/>
                <w:color w:val="auto"/>
                <w:kern w:val="2"/>
                <w:sz w:val="21"/>
                <w:szCs w:val="21"/>
              </w:rPr>
            </w:pPr>
            <w:r>
              <w:rPr>
                <w:rFonts w:hint="eastAsia" w:ascii="仿宋" w:hAnsi="仿宋" w:eastAsia="仿宋" w:cs="仿宋"/>
                <w:color w:val="auto"/>
                <w:kern w:val="2"/>
                <w:sz w:val="21"/>
                <w:szCs w:val="21"/>
              </w:rPr>
              <w:t>第二十三条.歌舞娱乐场所不得接纳未成年人。除国家法定节假日外，游艺娱乐场所设置的电子游戏机不得向未成年人提供。</w:t>
            </w:r>
          </w:p>
          <w:p>
            <w:pPr>
              <w:pStyle w:val="4"/>
              <w:shd w:val="clear" w:color="auto"/>
              <w:spacing w:before="0" w:beforeAutospacing="0" w:after="0" w:afterAutospacing="0" w:line="240" w:lineRule="auto"/>
              <w:jc w:val="both"/>
              <w:rPr>
                <w:rFonts w:hint="eastAsia" w:ascii="仿宋" w:hAnsi="仿宋" w:eastAsia="仿宋" w:cs="仿宋"/>
                <w:color w:val="auto"/>
                <w:kern w:val="2"/>
                <w:sz w:val="21"/>
                <w:szCs w:val="21"/>
              </w:rPr>
            </w:pPr>
            <w:r>
              <w:rPr>
                <w:rFonts w:hint="eastAsia" w:ascii="仿宋" w:hAnsi="仿宋" w:eastAsia="仿宋" w:cs="仿宋"/>
                <w:color w:val="auto"/>
                <w:kern w:val="2"/>
                <w:sz w:val="21"/>
                <w:szCs w:val="21"/>
              </w:rPr>
              <w:t>第二十八条.每日凌晨2时至上午8时，娱乐场所不得营业。</w:t>
            </w:r>
          </w:p>
          <w:p>
            <w:pPr>
              <w:pStyle w:val="4"/>
              <w:shd w:val="clear" w:color="auto"/>
              <w:spacing w:before="0" w:beforeAutospacing="0" w:after="0" w:afterAutospacing="0" w:line="240" w:lineRule="auto"/>
              <w:jc w:val="both"/>
              <w:rPr>
                <w:rFonts w:hint="eastAsia" w:ascii="仿宋" w:hAnsi="仿宋" w:eastAsia="仿宋" w:cs="仿宋"/>
                <w:color w:val="auto"/>
                <w:kern w:val="2"/>
                <w:sz w:val="21"/>
                <w:szCs w:val="21"/>
              </w:rPr>
            </w:pPr>
            <w:r>
              <w:rPr>
                <w:rFonts w:hint="eastAsia" w:ascii="仿宋" w:hAnsi="仿宋" w:eastAsia="仿宋" w:cs="仿宋"/>
                <w:color w:val="auto"/>
                <w:kern w:val="2"/>
                <w:sz w:val="21"/>
                <w:szCs w:val="21"/>
              </w:rPr>
              <w:t>第三十条.娱乐场所应当在营业场所的大厅、包厢、包间内的显著位置悬挂含有禁毒、禁赌、禁止卖淫嫖娼等内容的警示标志、未成年人禁入或者限入标志。标志应当注明公安部门、文化主管部门的举报电话。</w:t>
            </w:r>
          </w:p>
          <w:p>
            <w:pPr>
              <w:shd w:val="clea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《娱乐场所管理办法》</w:t>
            </w:r>
          </w:p>
          <w:p>
            <w:pPr>
              <w:widowControl/>
              <w:shd w:val="clear" w:color="auto"/>
              <w:spacing w:line="240" w:lineRule="auto"/>
              <w:jc w:val="both"/>
              <w:outlineLvl w:val="2"/>
              <w:rPr>
                <w:rFonts w:hint="eastAsia" w:ascii="仿宋" w:hAnsi="仿宋" w:eastAsia="仿宋" w:cs="仿宋"/>
                <w:color w:val="auto"/>
                <w:sz w:val="21"/>
                <w:szCs w:val="21"/>
              </w:rPr>
            </w:pPr>
            <w:r>
              <w:rPr>
                <w:rFonts w:hint="eastAsia" w:ascii="仿宋" w:hAnsi="仿宋" w:eastAsia="仿宋" w:cs="仿宋"/>
                <w:color w:val="auto"/>
                <w:sz w:val="21"/>
                <w:szCs w:val="21"/>
              </w:rPr>
              <w:t>第二十一条.游艺娱乐场所经营应当符合以下规定：</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（一）不得设置未经文化主管部门内容核查的游戏游艺设备；</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（二）进行有奖经营活动的，奖品目录应当报所在地县级文化主管部门备案；</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（三）不得擅自变更游戏游艺设备；</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（四）实行游戏、游艺分区经营，并有明显的分区标志；</w:t>
            </w:r>
            <w:r>
              <w:rPr>
                <w:rFonts w:hint="eastAsia" w:ascii="仿宋" w:hAnsi="仿宋" w:eastAsia="仿宋" w:cs="仿宋"/>
                <w:color w:val="auto"/>
                <w:sz w:val="21"/>
                <w:szCs w:val="21"/>
              </w:rPr>
              <w:br w:type="textWrapping"/>
            </w:r>
            <w:r>
              <w:rPr>
                <w:rFonts w:hint="eastAsia" w:ascii="仿宋" w:hAnsi="仿宋" w:eastAsia="仿宋" w:cs="仿宋"/>
                <w:color w:val="auto"/>
                <w:sz w:val="21"/>
                <w:szCs w:val="21"/>
              </w:rPr>
              <w:t>（五）除国家法定节假日外，禁止未成年人进入游戏区。</w:t>
            </w:r>
          </w:p>
          <w:p>
            <w:pPr>
              <w:widowControl/>
              <w:shd w:val="clear" w:color="auto" w:fill="FFFFFF"/>
              <w:spacing w:line="240" w:lineRule="auto"/>
              <w:jc w:val="both"/>
              <w:outlineLvl w:val="2"/>
              <w:rPr>
                <w:rFonts w:hint="eastAsia" w:ascii="仿宋" w:hAnsi="仿宋" w:eastAsia="仿宋" w:cs="仿宋"/>
                <w:sz w:val="21"/>
                <w:szCs w:val="21"/>
                <w:vertAlign w:val="baseline"/>
              </w:rPr>
            </w:pPr>
            <w:r>
              <w:rPr>
                <w:rFonts w:hint="eastAsia" w:ascii="仿宋" w:hAnsi="仿宋" w:eastAsia="仿宋" w:cs="仿宋"/>
                <w:color w:val="auto"/>
                <w:sz w:val="21"/>
                <w:szCs w:val="21"/>
              </w:rPr>
              <w:t>第二十四条.娱乐场所应当在显著位置悬挂娱乐经营许可证、未成年人禁入或者限入标志，标志应当注明“12318”文化市场举报电话。</w:t>
            </w:r>
          </w:p>
        </w:tc>
        <w:tc>
          <w:tcPr>
            <w:tcW w:w="1381" w:type="dxa"/>
            <w:vAlign w:val="center"/>
          </w:tcPr>
          <w:p>
            <w:pPr>
              <w:spacing w:line="240" w:lineRule="auto"/>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lang w:val="en-US" w:eastAsia="zh-CN"/>
              </w:rPr>
              <w:t>2023年5</w:t>
            </w:r>
            <w:r>
              <w:rPr>
                <w:rFonts w:hint="eastAsia" w:ascii="仿宋" w:hAnsi="仿宋" w:eastAsia="仿宋" w:cs="仿宋"/>
                <w:color w:val="auto"/>
                <w:kern w:val="0"/>
                <w:sz w:val="21"/>
                <w:szCs w:val="21"/>
              </w:rPr>
              <w:t>-</w:t>
            </w:r>
            <w:r>
              <w:rPr>
                <w:rFonts w:hint="eastAsia" w:ascii="仿宋" w:hAnsi="仿宋" w:eastAsia="仿宋" w:cs="仿宋"/>
                <w:color w:val="auto"/>
                <w:kern w:val="0"/>
                <w:sz w:val="21"/>
                <w:szCs w:val="21"/>
                <w:lang w:val="en-US" w:eastAsia="zh-CN"/>
              </w:rPr>
              <w:t>6</w:t>
            </w:r>
            <w:r>
              <w:rPr>
                <w:rFonts w:hint="eastAsia" w:ascii="仿宋" w:hAnsi="仿宋" w:eastAsia="仿宋" w:cs="仿宋"/>
                <w:color w:val="auto"/>
                <w:kern w:val="0"/>
                <w:sz w:val="21"/>
                <w:szCs w:val="21"/>
              </w:rPr>
              <w:t>月</w:t>
            </w:r>
          </w:p>
          <w:p>
            <w:pPr>
              <w:spacing w:line="240" w:lineRule="auto"/>
              <w:jc w:val="center"/>
              <w:rPr>
                <w:rFonts w:hint="eastAsia" w:ascii="仿宋" w:hAnsi="仿宋" w:eastAsia="仿宋" w:cs="仿宋"/>
                <w:sz w:val="21"/>
                <w:szCs w:val="21"/>
                <w:vertAlign w:val="baseline"/>
              </w:rPr>
            </w:pPr>
            <w:r>
              <w:rPr>
                <w:rFonts w:hint="eastAsia" w:ascii="仿宋" w:hAnsi="仿宋" w:eastAsia="仿宋" w:cs="仿宋"/>
                <w:color w:val="auto"/>
                <w:kern w:val="0"/>
                <w:sz w:val="21"/>
                <w:szCs w:val="21"/>
                <w:lang w:val="en-US" w:eastAsia="zh-CN"/>
              </w:rPr>
              <w:t>2023年8</w:t>
            </w:r>
            <w:r>
              <w:rPr>
                <w:rFonts w:hint="eastAsia" w:ascii="仿宋" w:hAnsi="仿宋" w:eastAsia="仿宋" w:cs="仿宋"/>
                <w:color w:val="auto"/>
                <w:kern w:val="0"/>
                <w:sz w:val="21"/>
                <w:szCs w:val="21"/>
              </w:rPr>
              <w:t>-9月</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sz w:val="21"/>
                <w:szCs w:val="21"/>
                <w:vertAlign w:val="baseline"/>
              </w:rPr>
            </w:pPr>
            <w:r>
              <w:rPr>
                <w:rFonts w:hint="eastAsia" w:ascii="仿宋" w:hAnsi="仿宋" w:eastAsia="仿宋" w:cs="仿宋"/>
                <w:color w:val="auto"/>
                <w:kern w:val="0"/>
                <w:sz w:val="21"/>
                <w:szCs w:val="21"/>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4"/>
                <w:szCs w:val="24"/>
                <w:vertAlign w:val="baseline"/>
              </w:rPr>
            </w:pPr>
            <w:r>
              <w:rPr>
                <w:rFonts w:hint="eastAsia" w:ascii="仿宋" w:hAnsi="仿宋" w:eastAsia="仿宋" w:cs="仿宋"/>
                <w:kern w:val="0"/>
                <w:sz w:val="24"/>
                <w:szCs w:val="24"/>
              </w:rPr>
              <w:t>　</w:t>
            </w:r>
          </w:p>
        </w:tc>
        <w:tc>
          <w:tcPr>
            <w:tcW w:w="1743" w:type="dxa"/>
            <w:vAlign w:val="center"/>
          </w:tcPr>
          <w:p>
            <w:pPr>
              <w:spacing w:line="240" w:lineRule="auto"/>
              <w:jc w:val="both"/>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瓦房店市文化</w:t>
            </w:r>
            <w:r>
              <w:rPr>
                <w:rFonts w:hint="eastAsia" w:ascii="仿宋" w:hAnsi="仿宋" w:eastAsia="仿宋" w:cs="仿宋"/>
                <w:color w:val="auto"/>
                <w:kern w:val="0"/>
                <w:sz w:val="21"/>
                <w:szCs w:val="21"/>
                <w:lang w:eastAsia="zh-CN"/>
              </w:rPr>
              <w:t>和旅游</w:t>
            </w:r>
            <w:r>
              <w:rPr>
                <w:rFonts w:hint="eastAsia" w:ascii="仿宋" w:hAnsi="仿宋" w:eastAsia="仿宋" w:cs="仿宋"/>
                <w:color w:val="auto"/>
                <w:kern w:val="0"/>
                <w:sz w:val="21"/>
                <w:szCs w:val="21"/>
              </w:rPr>
              <w:t>局（文化市场综合</w:t>
            </w:r>
            <w:r>
              <w:rPr>
                <w:rFonts w:hint="eastAsia" w:ascii="仿宋" w:hAnsi="仿宋" w:eastAsia="仿宋" w:cs="仿宋"/>
                <w:color w:val="auto"/>
                <w:kern w:val="0"/>
                <w:sz w:val="21"/>
                <w:szCs w:val="21"/>
                <w:lang w:eastAsia="zh-CN"/>
              </w:rPr>
              <w:t>行政</w:t>
            </w:r>
            <w:r>
              <w:rPr>
                <w:rFonts w:hint="eastAsia" w:ascii="仿宋" w:hAnsi="仿宋" w:eastAsia="仿宋" w:cs="仿宋"/>
                <w:color w:val="auto"/>
                <w:kern w:val="0"/>
                <w:sz w:val="21"/>
                <w:szCs w:val="21"/>
              </w:rPr>
              <w:t>执法队）</w:t>
            </w:r>
          </w:p>
          <w:p>
            <w:pPr>
              <w:spacing w:line="240" w:lineRule="auto"/>
              <w:jc w:val="both"/>
              <w:rPr>
                <w:rFonts w:hint="eastAsia" w:ascii="仿宋" w:hAnsi="仿宋" w:eastAsia="仿宋" w:cs="仿宋"/>
                <w:sz w:val="21"/>
                <w:szCs w:val="21"/>
                <w:vertAlign w:val="baseline"/>
              </w:rPr>
            </w:pPr>
          </w:p>
        </w:tc>
        <w:tc>
          <w:tcPr>
            <w:tcW w:w="1505" w:type="dxa"/>
            <w:vAlign w:val="center"/>
          </w:tcPr>
          <w:p>
            <w:pPr>
              <w:spacing w:line="240" w:lineRule="auto"/>
              <w:jc w:val="both"/>
              <w:rPr>
                <w:rFonts w:hint="eastAsia" w:ascii="仿宋" w:hAnsi="仿宋" w:eastAsia="仿宋" w:cs="仿宋"/>
                <w:sz w:val="21"/>
                <w:szCs w:val="21"/>
                <w:vertAlign w:val="baseline"/>
              </w:rPr>
            </w:pPr>
            <w:r>
              <w:rPr>
                <w:rFonts w:hint="eastAsia" w:ascii="仿宋" w:hAnsi="仿宋" w:eastAsia="仿宋" w:cs="仿宋"/>
                <w:color w:val="auto"/>
                <w:sz w:val="21"/>
                <w:szCs w:val="21"/>
              </w:rPr>
              <w:t>电影放映</w:t>
            </w:r>
          </w:p>
        </w:tc>
        <w:tc>
          <w:tcPr>
            <w:tcW w:w="2550" w:type="dxa"/>
            <w:vAlign w:val="center"/>
          </w:tcPr>
          <w:p>
            <w:pPr>
              <w:spacing w:line="240" w:lineRule="auto"/>
              <w:jc w:val="both"/>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1、经营者是否备案</w:t>
            </w:r>
          </w:p>
          <w:p>
            <w:pPr>
              <w:spacing w:line="240" w:lineRule="auto"/>
              <w:jc w:val="both"/>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2、是否放映未取得《电影公映许可证》的电影</w:t>
            </w:r>
          </w:p>
          <w:p>
            <w:pPr>
              <w:spacing w:line="240" w:lineRule="auto"/>
              <w:jc w:val="both"/>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3、遵守有关法律法规情况</w:t>
            </w:r>
          </w:p>
          <w:p>
            <w:pPr>
              <w:spacing w:line="240" w:lineRule="auto"/>
              <w:jc w:val="both"/>
              <w:rPr>
                <w:rFonts w:hint="eastAsia" w:ascii="仿宋" w:hAnsi="仿宋" w:eastAsia="仿宋" w:cs="仿宋"/>
                <w:sz w:val="21"/>
                <w:szCs w:val="21"/>
                <w:vertAlign w:val="baseline"/>
              </w:rPr>
            </w:pPr>
            <w:r>
              <w:rPr>
                <w:rFonts w:hint="eastAsia" w:ascii="仿宋" w:hAnsi="仿宋" w:eastAsia="仿宋" w:cs="仿宋"/>
                <w:color w:val="auto"/>
                <w:kern w:val="0"/>
                <w:sz w:val="21"/>
                <w:szCs w:val="21"/>
              </w:rPr>
              <w:t>4、广告时长</w:t>
            </w:r>
          </w:p>
        </w:tc>
        <w:tc>
          <w:tcPr>
            <w:tcW w:w="5013" w:type="dxa"/>
            <w:vAlign w:val="center"/>
          </w:tcPr>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《中华人民共和国电影产业促进法》</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第三十三条 企业或者个体工商户将其名称或者经营者姓名、联系方式、流动放映设备等情况向经营区域所在地县级或者设区的市级人民政府广播电影电视主管部门备案后，可以从事电影流动放映业务。</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第三十六条 电影发行企业、电影院以及从事电影流动放映业务的企业和个体工商户，不得发行、放映未取得《电影公映许可证》的电影。</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电影院以及从事电影流动放映业务的企业和个体工商户年放映国产电影的时间，不得低于年放映电影时间总和的三分之二。</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电影院设施、设备的技术质量应当符合相关的电影放映技术标准。</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第三十七条 电影院应当遵守治安、公共场所卫生等法律、行政法规，维护放映场所内的公共秩序和环境卫生，保障观众的安全与健康。</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电影院不得偷漏瞒报票房收入；加盟电影院线的电影院，应当安装符合国家标准的计算机售票系统。</w:t>
            </w:r>
          </w:p>
          <w:p>
            <w:pPr>
              <w:spacing w:line="240" w:lineRule="auto"/>
              <w:jc w:val="both"/>
              <w:rPr>
                <w:rFonts w:hint="eastAsia" w:ascii="仿宋" w:hAnsi="仿宋" w:eastAsia="仿宋" w:cs="仿宋"/>
                <w:color w:val="auto"/>
                <w:sz w:val="21"/>
                <w:szCs w:val="21"/>
              </w:rPr>
            </w:pPr>
            <w:r>
              <w:rPr>
                <w:rFonts w:hint="eastAsia" w:ascii="仿宋" w:hAnsi="仿宋" w:eastAsia="仿宋" w:cs="仿宋"/>
                <w:color w:val="auto"/>
                <w:sz w:val="21"/>
                <w:szCs w:val="21"/>
              </w:rPr>
              <w:t>第三十八条 电影院不得在向观众明示的电影放映时间之后放映广告。</w:t>
            </w:r>
          </w:p>
          <w:p>
            <w:pPr>
              <w:spacing w:line="240" w:lineRule="auto"/>
              <w:jc w:val="both"/>
              <w:rPr>
                <w:rFonts w:hint="eastAsia" w:ascii="仿宋" w:hAnsi="仿宋" w:eastAsia="仿宋" w:cs="仿宋"/>
                <w:sz w:val="21"/>
                <w:szCs w:val="21"/>
                <w:vertAlign w:val="baseline"/>
              </w:rPr>
            </w:pPr>
            <w:r>
              <w:rPr>
                <w:rFonts w:hint="eastAsia" w:ascii="仿宋" w:hAnsi="仿宋" w:eastAsia="仿宋" w:cs="仿宋"/>
                <w:color w:val="auto"/>
                <w:sz w:val="21"/>
                <w:szCs w:val="21"/>
              </w:rPr>
              <w:t>电影院放映的电影可能引起观众身体或者心理不适的，应当在观众购买电影票时予以提示。</w:t>
            </w:r>
          </w:p>
        </w:tc>
        <w:tc>
          <w:tcPr>
            <w:tcW w:w="1381" w:type="dxa"/>
            <w:vAlign w:val="center"/>
          </w:tcPr>
          <w:p>
            <w:pPr>
              <w:spacing w:line="24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2023年</w:t>
            </w:r>
            <w:r>
              <w:rPr>
                <w:rFonts w:hint="eastAsia" w:ascii="仿宋" w:hAnsi="仿宋" w:eastAsia="仿宋" w:cs="仿宋"/>
                <w:color w:val="auto"/>
                <w:sz w:val="21"/>
                <w:szCs w:val="21"/>
              </w:rPr>
              <w:t>3月份</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9月份</w:t>
            </w:r>
          </w:p>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sz w:val="21"/>
                <w:szCs w:val="21"/>
                <w:vertAlign w:val="baseline"/>
              </w:rPr>
            </w:pPr>
            <w:r>
              <w:rPr>
                <w:rFonts w:hint="eastAsia" w:ascii="仿宋" w:hAnsi="仿宋" w:eastAsia="仿宋" w:cs="仿宋"/>
                <w:color w:val="auto"/>
                <w:sz w:val="21"/>
                <w:szCs w:val="21"/>
              </w:rPr>
              <w:t>重要节日专项检查</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sz w:val="21"/>
                <w:szCs w:val="21"/>
                <w:vertAlign w:val="baseline"/>
              </w:rPr>
            </w:pPr>
            <w:r>
              <w:rPr>
                <w:rFonts w:hint="eastAsia" w:ascii="仿宋" w:hAnsi="仿宋" w:eastAsia="仿宋" w:cs="仿宋"/>
                <w:color w:val="auto"/>
                <w:kern w:val="0"/>
                <w:sz w:val="21"/>
                <w:szCs w:val="21"/>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trPr>
        <w:tc>
          <w:tcPr>
            <w:tcW w:w="722" w:type="dxa"/>
            <w:vAlign w:val="center"/>
          </w:tcPr>
          <w:p>
            <w:pPr>
              <w:widowControl/>
              <w:spacing w:line="240" w:lineRule="auto"/>
              <w:jc w:val="both"/>
              <w:rPr>
                <w:rFonts w:hint="eastAsia" w:eastAsia="宋体"/>
                <w:vertAlign w:val="baseline"/>
                <w:lang w:val="en-US" w:eastAsia="zh-CN"/>
              </w:rPr>
            </w:pPr>
            <w:r>
              <w:rPr>
                <w:rFonts w:hint="eastAsia" w:ascii="宋体" w:hAnsi="宋体" w:cs="宋体"/>
                <w:kern w:val="0"/>
                <w:sz w:val="24"/>
                <w:szCs w:val="24"/>
              </w:rPr>
              <w:t>　</w:t>
            </w:r>
            <w:r>
              <w:rPr>
                <w:rFonts w:hint="eastAsia" w:ascii="宋体" w:hAnsi="宋体" w:cs="宋体"/>
                <w:kern w:val="0"/>
                <w:sz w:val="24"/>
                <w:szCs w:val="24"/>
                <w:lang w:val="en-US" w:eastAsia="zh-CN"/>
              </w:rPr>
              <w:t>2</w:t>
            </w:r>
          </w:p>
        </w:tc>
        <w:tc>
          <w:tcPr>
            <w:tcW w:w="1743" w:type="dxa"/>
            <w:vAlign w:val="center"/>
          </w:tcPr>
          <w:p>
            <w:pPr>
              <w:spacing w:line="240" w:lineRule="auto"/>
              <w:jc w:val="both"/>
              <w:rPr>
                <w:rFonts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瓦房店市科技和工业信息化局</w:t>
            </w:r>
          </w:p>
          <w:p>
            <w:pPr>
              <w:widowControl/>
              <w:spacing w:line="240" w:lineRule="auto"/>
              <w:jc w:val="both"/>
              <w:rPr>
                <w:b w:val="0"/>
                <w:bCs w:val="0"/>
                <w:sz w:val="21"/>
                <w:szCs w:val="21"/>
                <w:vertAlign w:val="baseline"/>
              </w:rPr>
            </w:pPr>
          </w:p>
        </w:tc>
        <w:tc>
          <w:tcPr>
            <w:tcW w:w="1505" w:type="dxa"/>
            <w:vAlign w:val="center"/>
          </w:tcPr>
          <w:p>
            <w:pPr>
              <w:spacing w:line="240" w:lineRule="auto"/>
              <w:jc w:val="both"/>
              <w:rPr>
                <w:rFonts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瓦房店市民爆生产、销售企业。</w:t>
            </w:r>
          </w:p>
          <w:p>
            <w:pPr>
              <w:widowControl/>
              <w:spacing w:line="240" w:lineRule="auto"/>
              <w:jc w:val="both"/>
              <w:rPr>
                <w:b w:val="0"/>
                <w:bCs w:val="0"/>
                <w:sz w:val="21"/>
                <w:szCs w:val="21"/>
                <w:vertAlign w:val="baseline"/>
              </w:rPr>
            </w:pPr>
          </w:p>
        </w:tc>
        <w:tc>
          <w:tcPr>
            <w:tcW w:w="2550" w:type="dxa"/>
            <w:vAlign w:val="center"/>
          </w:tcPr>
          <w:p>
            <w:pPr>
              <w:widowControl/>
              <w:spacing w:line="240" w:lineRule="auto"/>
              <w:jc w:val="both"/>
              <w:rPr>
                <w:b w:val="0"/>
                <w:bCs w:val="0"/>
                <w:sz w:val="21"/>
                <w:szCs w:val="21"/>
                <w:vertAlign w:val="baseline"/>
              </w:rPr>
            </w:pPr>
            <w:r>
              <w:rPr>
                <w:rFonts w:hint="eastAsia" w:ascii="仿宋" w:hAnsi="仿宋" w:eastAsia="仿宋" w:cs="仿宋"/>
                <w:b w:val="0"/>
                <w:bCs w:val="0"/>
                <w:color w:val="000000"/>
                <w:kern w:val="0"/>
                <w:sz w:val="21"/>
                <w:szCs w:val="21"/>
              </w:rPr>
              <w:t>　根据民爆行业管理要求对生产线、储存库区、安全管理材料进行检查，视情况邀请行业专家参加检查。</w:t>
            </w:r>
          </w:p>
        </w:tc>
        <w:tc>
          <w:tcPr>
            <w:tcW w:w="5013" w:type="dxa"/>
            <w:vAlign w:val="center"/>
          </w:tcPr>
          <w:p>
            <w:pPr>
              <w:spacing w:line="240" w:lineRule="auto"/>
              <w:jc w:val="both"/>
              <w:rPr>
                <w:rFonts w:ascii="仿宋" w:hAnsi="仿宋" w:eastAsia="仿宋" w:cs="仿宋"/>
                <w:b w:val="0"/>
                <w:bCs w:val="0"/>
                <w:color w:val="000000"/>
                <w:kern w:val="0"/>
                <w:sz w:val="21"/>
                <w:szCs w:val="21"/>
              </w:rPr>
            </w:pPr>
            <w:r>
              <w:rPr>
                <w:rFonts w:hint="eastAsia" w:ascii="宋体" w:hAnsi="宋体" w:cs="宋体"/>
                <w:b w:val="0"/>
                <w:bCs w:val="0"/>
                <w:kern w:val="0"/>
                <w:sz w:val="21"/>
                <w:szCs w:val="21"/>
              </w:rPr>
              <w:t>　</w:t>
            </w:r>
            <w:r>
              <w:rPr>
                <w:rStyle w:val="6"/>
                <w:rFonts w:ascii="仿宋" w:hAnsi="仿宋" w:eastAsia="仿宋" w:cs="仿宋"/>
                <w:b w:val="0"/>
                <w:bCs w:val="0"/>
                <w:sz w:val="21"/>
                <w:szCs w:val="21"/>
              </w:rPr>
              <w:t>1.</w:t>
            </w:r>
            <w:r>
              <w:rPr>
                <w:rStyle w:val="6"/>
                <w:rFonts w:hint="eastAsia" w:ascii="仿宋" w:hAnsi="仿宋" w:eastAsia="仿宋" w:cs="仿宋"/>
                <w:b w:val="0"/>
                <w:bCs w:val="0"/>
                <w:sz w:val="21"/>
                <w:szCs w:val="21"/>
              </w:rPr>
              <w:t>《民用爆炸物品安全生产许可实施办法》</w:t>
            </w:r>
            <w:r>
              <w:rPr>
                <w:rFonts w:hint="eastAsia" w:ascii="仿宋" w:hAnsi="仿宋" w:eastAsia="仿宋" w:cs="仿宋"/>
                <w:b w:val="0"/>
                <w:bCs w:val="0"/>
                <w:sz w:val="21"/>
                <w:szCs w:val="21"/>
              </w:rPr>
              <w:t>（中华人民共和国工业和信息化部令第</w:t>
            </w:r>
            <w:r>
              <w:rPr>
                <w:rFonts w:ascii="仿宋" w:hAnsi="仿宋" w:eastAsia="仿宋" w:cs="仿宋"/>
                <w:b w:val="0"/>
                <w:bCs w:val="0"/>
                <w:sz w:val="21"/>
                <w:szCs w:val="21"/>
              </w:rPr>
              <w:t>30</w:t>
            </w:r>
            <w:r>
              <w:rPr>
                <w:rFonts w:hint="eastAsia" w:ascii="仿宋" w:hAnsi="仿宋" w:eastAsia="仿宋" w:cs="仿宋"/>
                <w:b w:val="0"/>
                <w:bCs w:val="0"/>
                <w:sz w:val="21"/>
                <w:szCs w:val="21"/>
              </w:rPr>
              <w:t>号）第十九条　各级民用爆炸物品行业主管部门应当建立健全监督制度，加强对民用爆炸物品生产企业的日常监督检查，督促其依法进行生产。</w:t>
            </w:r>
          </w:p>
          <w:p>
            <w:pPr>
              <w:spacing w:line="240" w:lineRule="auto"/>
              <w:jc w:val="both"/>
              <w:rPr>
                <w:rStyle w:val="6"/>
                <w:rFonts w:ascii="仿宋" w:hAnsi="仿宋" w:eastAsia="仿宋" w:cs="仿宋"/>
                <w:b w:val="0"/>
                <w:bCs w:val="0"/>
                <w:sz w:val="21"/>
                <w:szCs w:val="21"/>
              </w:rPr>
            </w:pPr>
            <w:r>
              <w:rPr>
                <w:rStyle w:val="6"/>
                <w:rFonts w:ascii="仿宋" w:hAnsi="仿宋" w:eastAsia="仿宋" w:cs="仿宋"/>
                <w:b w:val="0"/>
                <w:bCs w:val="0"/>
                <w:sz w:val="21"/>
                <w:szCs w:val="21"/>
              </w:rPr>
              <w:t xml:space="preserve"> 2.</w:t>
            </w:r>
            <w:r>
              <w:rPr>
                <w:rStyle w:val="6"/>
                <w:rFonts w:hint="eastAsia" w:ascii="仿宋" w:hAnsi="仿宋" w:eastAsia="仿宋" w:cs="仿宋"/>
                <w:b w:val="0"/>
                <w:bCs w:val="0"/>
                <w:sz w:val="21"/>
                <w:szCs w:val="21"/>
              </w:rPr>
              <w:t>《民用爆炸物品销售许可实施办法》（国防科工委第</w:t>
            </w:r>
            <w:r>
              <w:rPr>
                <w:rStyle w:val="6"/>
                <w:rFonts w:ascii="仿宋" w:hAnsi="仿宋" w:eastAsia="仿宋" w:cs="仿宋"/>
                <w:b w:val="0"/>
                <w:bCs w:val="0"/>
                <w:sz w:val="21"/>
                <w:szCs w:val="21"/>
              </w:rPr>
              <w:t>18</w:t>
            </w:r>
            <w:r>
              <w:rPr>
                <w:rStyle w:val="6"/>
                <w:rFonts w:hint="eastAsia" w:ascii="仿宋" w:hAnsi="仿宋" w:eastAsia="仿宋" w:cs="仿宋"/>
                <w:b w:val="0"/>
                <w:bCs w:val="0"/>
                <w:sz w:val="21"/>
                <w:szCs w:val="21"/>
              </w:rPr>
              <w:t>号令）</w:t>
            </w:r>
          </w:p>
          <w:p>
            <w:pPr>
              <w:widowControl/>
              <w:spacing w:line="240" w:lineRule="auto"/>
              <w:jc w:val="both"/>
              <w:rPr>
                <w:b w:val="0"/>
                <w:bCs w:val="0"/>
                <w:sz w:val="21"/>
                <w:szCs w:val="21"/>
                <w:vertAlign w:val="baseline"/>
              </w:rPr>
            </w:pPr>
            <w:r>
              <w:rPr>
                <w:rStyle w:val="6"/>
                <w:rFonts w:hint="eastAsia" w:ascii="仿宋" w:hAnsi="仿宋" w:eastAsia="仿宋" w:cs="仿宋"/>
                <w:b w:val="0"/>
                <w:bCs w:val="0"/>
                <w:sz w:val="21"/>
                <w:szCs w:val="21"/>
              </w:rPr>
              <w:t>第四条国防科学技术工业委员会（以下简称国防科工委）负责制定民用爆炸物品销售许可的政策、规章、审查标准和技术规范，对民用爆炸物品销售许可实施监督管理。</w:t>
            </w:r>
          </w:p>
        </w:tc>
        <w:tc>
          <w:tcPr>
            <w:tcW w:w="1381" w:type="dxa"/>
            <w:vAlign w:val="center"/>
          </w:tcPr>
          <w:p>
            <w:pPr>
              <w:spacing w:line="240" w:lineRule="auto"/>
              <w:jc w:val="center"/>
              <w:rPr>
                <w:b w:val="0"/>
                <w:bCs w:val="0"/>
                <w:sz w:val="21"/>
                <w:szCs w:val="21"/>
                <w:vertAlign w:val="baseline"/>
              </w:rPr>
            </w:pPr>
            <w:r>
              <w:rPr>
                <w:rFonts w:hint="eastAsia" w:ascii="仿宋" w:hAnsi="仿宋" w:eastAsia="仿宋" w:cs="仿宋"/>
                <w:b w:val="0"/>
                <w:bCs w:val="0"/>
                <w:sz w:val="21"/>
                <w:szCs w:val="21"/>
              </w:rPr>
              <w:t>每年一次</w:t>
            </w:r>
          </w:p>
        </w:tc>
        <w:tc>
          <w:tcPr>
            <w:tcW w:w="1400" w:type="dxa"/>
            <w:vAlign w:val="center"/>
          </w:tcPr>
          <w:p>
            <w:pPr>
              <w:widowControl/>
              <w:spacing w:line="240" w:lineRule="auto"/>
              <w:jc w:val="center"/>
              <w:rPr>
                <w:b w:val="0"/>
                <w:bCs w:val="0"/>
                <w:sz w:val="21"/>
                <w:szCs w:val="21"/>
                <w:vertAlign w:val="baseline"/>
              </w:rPr>
            </w:pPr>
            <w:r>
              <w:rPr>
                <w:rFonts w:hint="eastAsia" w:ascii="仿宋" w:hAnsi="仿宋" w:eastAsia="仿宋" w:cs="仿宋"/>
                <w:b w:val="0"/>
                <w:bCs w:val="0"/>
                <w:color w:val="000000"/>
                <w:kern w:val="0"/>
                <w:sz w:val="21"/>
                <w:szCs w:val="21"/>
              </w:rPr>
              <w:t>现场调阅审查</w:t>
            </w:r>
          </w:p>
        </w:tc>
        <w:tc>
          <w:tcPr>
            <w:tcW w:w="1297" w:type="dxa"/>
            <w:vAlign w:val="center"/>
          </w:tcPr>
          <w:p>
            <w:pPr>
              <w:widowControl/>
              <w:spacing w:line="240" w:lineRule="auto"/>
              <w:jc w:val="center"/>
              <w:rPr>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widowControl/>
              <w:spacing w:line="240" w:lineRule="auto"/>
              <w:jc w:val="both"/>
              <w:rPr>
                <w:rFonts w:hint="eastAsia" w:eastAsia="宋体"/>
                <w:vertAlign w:val="baseline"/>
                <w:lang w:val="en-US" w:eastAsia="zh-CN"/>
              </w:rPr>
            </w:pPr>
            <w:r>
              <w:rPr>
                <w:rFonts w:hint="eastAsia" w:ascii="宋体" w:hAnsi="宋体" w:cs="宋体"/>
                <w:sz w:val="16"/>
                <w:szCs w:val="32"/>
              </w:rPr>
              <w:t>　</w:t>
            </w:r>
            <w:r>
              <w:rPr>
                <w:rFonts w:hint="eastAsia" w:ascii="宋体" w:hAnsi="宋体" w:cs="宋体"/>
                <w:sz w:val="24"/>
                <w:szCs w:val="24"/>
                <w:lang w:val="en-US" w:eastAsia="zh-CN"/>
              </w:rPr>
              <w:t>3</w:t>
            </w:r>
          </w:p>
        </w:tc>
        <w:tc>
          <w:tcPr>
            <w:tcW w:w="1743" w:type="dxa"/>
            <w:vAlign w:val="center"/>
          </w:tcPr>
          <w:p>
            <w:pPr>
              <w:widowControl/>
              <w:spacing w:line="240" w:lineRule="auto"/>
              <w:jc w:val="both"/>
              <w:rPr>
                <w:rFonts w:hint="eastAsia" w:ascii="仿宋" w:hAnsi="仿宋" w:eastAsia="仿宋" w:cs="仿宋"/>
                <w:b w:val="0"/>
                <w:bCs w:val="0"/>
                <w:sz w:val="21"/>
                <w:szCs w:val="21"/>
                <w:vertAlign w:val="baseline"/>
              </w:rPr>
            </w:pPr>
            <w:r>
              <w:rPr>
                <w:rFonts w:hint="eastAsia" w:ascii="仿宋" w:hAnsi="仿宋" w:eastAsia="仿宋" w:cs="仿宋"/>
                <w:b w:val="0"/>
                <w:bCs w:val="0"/>
                <w:sz w:val="21"/>
                <w:szCs w:val="21"/>
              </w:rPr>
              <w:t>瓦房店市发展和改革局</w:t>
            </w:r>
          </w:p>
        </w:tc>
        <w:tc>
          <w:tcPr>
            <w:tcW w:w="1505" w:type="dxa"/>
            <w:vAlign w:val="center"/>
          </w:tcPr>
          <w:p>
            <w:pPr>
              <w:widowControl/>
              <w:spacing w:line="240" w:lineRule="auto"/>
              <w:jc w:val="both"/>
              <w:rPr>
                <w:rFonts w:hint="eastAsia" w:ascii="仿宋" w:hAnsi="仿宋" w:eastAsia="仿宋" w:cs="仿宋"/>
                <w:b w:val="0"/>
                <w:bCs w:val="0"/>
                <w:sz w:val="21"/>
                <w:szCs w:val="21"/>
                <w:vertAlign w:val="baseline"/>
              </w:rPr>
            </w:pPr>
            <w:r>
              <w:rPr>
                <w:rFonts w:hint="eastAsia" w:ascii="仿宋" w:hAnsi="仿宋" w:eastAsia="仿宋" w:cs="仿宋"/>
                <w:b w:val="0"/>
                <w:bCs w:val="0"/>
                <w:kern w:val="0"/>
                <w:sz w:val="21"/>
                <w:szCs w:val="21"/>
              </w:rPr>
              <w:t>瓦房店市辖区内从事秋粮收购活动的各类粮食经营主体，重点是承担政策性粮食收购任务的收储企业</w:t>
            </w:r>
          </w:p>
        </w:tc>
        <w:tc>
          <w:tcPr>
            <w:tcW w:w="2550" w:type="dxa"/>
            <w:vAlign w:val="center"/>
          </w:tcPr>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一 核查粮食收购者是否具有粮食收购资格，政策性粮食委托收储库点是否具备规定的条件，要与有关部门和单位协调配合，坚决取缔无备案收购。</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二 检查粮食收购者是否严格执行了国家粮油质量等级标准和水杂增扣量标准。坚决纠正压级压价等行为。</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三 检查粮食收购者是否及时支付了农民售粮款。坚决制止并严肃查处“打白条”等行为。</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四 检查粮食收购者履行相关义务情况。督促粮食收购者按照有关规定报送统计报表，建立和保存经营台账，保存规范的原始收购凭证。</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五 检查粮食收购政策执行情况。</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1、是否严格执行了“五要五不准”粮食收购守则。</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2、是否在收购场所张榜公布了收购价格、质量标准、水杂增扣量标准、结算方式、“12325”监管热线等信息。</w:t>
            </w:r>
          </w:p>
          <w:p>
            <w:pPr>
              <w:widowControl/>
              <w:spacing w:line="240" w:lineRule="auto"/>
              <w:jc w:val="both"/>
              <w:rPr>
                <w:rFonts w:hint="eastAsia" w:ascii="仿宋" w:hAnsi="仿宋" w:eastAsia="仿宋" w:cs="仿宋"/>
                <w:b w:val="0"/>
                <w:bCs w:val="0"/>
                <w:sz w:val="21"/>
                <w:szCs w:val="21"/>
                <w:vertAlign w:val="baseline"/>
              </w:rPr>
            </w:pPr>
            <w:r>
              <w:rPr>
                <w:rFonts w:hint="eastAsia" w:ascii="仿宋" w:hAnsi="仿宋" w:eastAsia="仿宋" w:cs="仿宋"/>
                <w:b w:val="0"/>
                <w:bCs w:val="0"/>
                <w:kern w:val="0"/>
                <w:sz w:val="21"/>
                <w:szCs w:val="21"/>
              </w:rPr>
              <w:t>3、收购码单等原始凭证是否真实、齐全，填写是否规范、完整；是否留存收购环节开具的收购结算单、质检单、称重计量单（含相关电子数据）。</w:t>
            </w:r>
          </w:p>
        </w:tc>
        <w:tc>
          <w:tcPr>
            <w:tcW w:w="5013" w:type="dxa"/>
            <w:vAlign w:val="center"/>
          </w:tcPr>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　1.《关于做好2022年秋粮收购监管工作的通知》（大发改粮食字﹝2022﹞529号）</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 xml:space="preserve">2.大连市发展和改革委等7部门联合下发的《关于切实做好2022年秋粮收购工作的通知》（大发改粮食字﹝2022﹞549号）                3.《瓦房店市2022年秋粮收购监管工作方案》（瓦粮安办﹝2022﹞1号）  </w:t>
            </w:r>
          </w:p>
          <w:p>
            <w:pPr>
              <w:widowControl/>
              <w:spacing w:line="240" w:lineRule="auto"/>
              <w:jc w:val="both"/>
              <w:rPr>
                <w:rFonts w:hint="eastAsia" w:ascii="仿宋" w:hAnsi="仿宋" w:eastAsia="仿宋" w:cs="仿宋"/>
                <w:b w:val="0"/>
                <w:bCs w:val="0"/>
                <w:sz w:val="21"/>
                <w:szCs w:val="21"/>
                <w:vertAlign w:val="baseline"/>
              </w:rPr>
            </w:pPr>
            <w:r>
              <w:rPr>
                <w:rFonts w:hint="eastAsia" w:ascii="仿宋" w:hAnsi="仿宋" w:eastAsia="仿宋" w:cs="仿宋"/>
                <w:b w:val="0"/>
                <w:bCs w:val="0"/>
                <w:kern w:val="0"/>
                <w:sz w:val="21"/>
                <w:szCs w:val="21"/>
              </w:rPr>
              <w:t xml:space="preserve">4.《瓦房店市2022年秋粮收购工作方案》（瓦粮安办﹝2022﹞2号）  </w:t>
            </w:r>
          </w:p>
        </w:tc>
        <w:tc>
          <w:tcPr>
            <w:tcW w:w="1381" w:type="dxa"/>
            <w:vAlign w:val="center"/>
          </w:tcPr>
          <w:p>
            <w:pPr>
              <w:widowControl/>
              <w:spacing w:line="240" w:lineRule="auto"/>
              <w:jc w:val="center"/>
              <w:rPr>
                <w:rFonts w:hint="eastAsia" w:ascii="仿宋" w:hAnsi="仿宋" w:eastAsia="仿宋" w:cs="仿宋"/>
                <w:b w:val="0"/>
                <w:bCs w:val="0"/>
                <w:sz w:val="21"/>
                <w:szCs w:val="21"/>
                <w:vertAlign w:val="baseline"/>
              </w:rPr>
            </w:pPr>
            <w:r>
              <w:rPr>
                <w:rFonts w:hint="eastAsia" w:ascii="仿宋" w:hAnsi="仿宋" w:eastAsia="仿宋" w:cs="仿宋"/>
                <w:b w:val="0"/>
                <w:bCs w:val="0"/>
                <w:kern w:val="0"/>
                <w:sz w:val="21"/>
                <w:szCs w:val="21"/>
              </w:rPr>
              <w:t>2023年全年</w:t>
            </w:r>
          </w:p>
        </w:tc>
        <w:tc>
          <w:tcPr>
            <w:tcW w:w="1400" w:type="dxa"/>
            <w:vAlign w:val="center"/>
          </w:tcPr>
          <w:p>
            <w:pPr>
              <w:widowControl/>
              <w:spacing w:line="240" w:lineRule="auto"/>
              <w:jc w:val="center"/>
              <w:rPr>
                <w:rFonts w:hint="eastAsia" w:ascii="仿宋" w:hAnsi="仿宋" w:eastAsia="仿宋" w:cs="仿宋"/>
                <w:b w:val="0"/>
                <w:bCs w:val="0"/>
                <w:sz w:val="21"/>
                <w:szCs w:val="21"/>
                <w:vertAlign w:val="baseline"/>
              </w:rPr>
            </w:pPr>
            <w:r>
              <w:rPr>
                <w:rFonts w:hint="eastAsia" w:ascii="仿宋" w:hAnsi="仿宋" w:eastAsia="仿宋" w:cs="仿宋"/>
                <w:b w:val="0"/>
                <w:bCs w:val="0"/>
                <w:kern w:val="0"/>
                <w:sz w:val="21"/>
                <w:szCs w:val="21"/>
              </w:rPr>
              <w:t>随机检查</w:t>
            </w:r>
          </w:p>
        </w:tc>
        <w:tc>
          <w:tcPr>
            <w:tcW w:w="1297" w:type="dxa"/>
            <w:vAlign w:val="center"/>
          </w:tcPr>
          <w:p>
            <w:pPr>
              <w:widowControl/>
              <w:spacing w:line="240" w:lineRule="auto"/>
              <w:jc w:val="center"/>
              <w:rPr>
                <w:rFonts w:hint="eastAsia" w:ascii="仿宋" w:hAnsi="仿宋" w:eastAsia="仿宋" w:cs="仿宋"/>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4"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eastAsia="宋体"/>
                <w:vertAlign w:val="baseline"/>
                <w:lang w:val="en-US" w:eastAsia="zh-CN"/>
              </w:rPr>
            </w:pPr>
            <w:r>
              <w:rPr>
                <w:rFonts w:hint="eastAsia" w:ascii="宋体" w:hAnsi="宋体" w:cs="宋体"/>
                <w:sz w:val="24"/>
                <w:szCs w:val="24"/>
                <w:lang w:val="en-US" w:eastAsia="zh-CN"/>
              </w:rPr>
              <w:t>4</w:t>
            </w: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sz w:val="21"/>
                <w:szCs w:val="21"/>
              </w:rPr>
              <w:t>瓦房店市</w:t>
            </w:r>
            <w:r>
              <w:rPr>
                <w:rFonts w:hint="eastAsia" w:ascii="仿宋" w:hAnsi="仿宋" w:eastAsia="仿宋" w:cs="仿宋"/>
                <w:sz w:val="21"/>
                <w:szCs w:val="21"/>
                <w:lang w:eastAsia="zh-CN"/>
              </w:rPr>
              <w:t>交通运输</w:t>
            </w:r>
            <w:r>
              <w:rPr>
                <w:rFonts w:hint="eastAsia" w:ascii="仿宋" w:hAnsi="仿宋" w:eastAsia="仿宋" w:cs="仿宋"/>
                <w:sz w:val="21"/>
                <w:szCs w:val="21"/>
              </w:rPr>
              <w:t>局</w:t>
            </w:r>
          </w:p>
        </w:tc>
        <w:tc>
          <w:tcPr>
            <w:tcW w:w="1505"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1、瓦房店轴承运输有限责任公司；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2、大连国光溶剂运输有限公司；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3、瓦房店市腾飞运输有限公司；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4、大连敖兴石油运输有限公司；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5、大连乾德运输有限公司；</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6、</w:t>
            </w:r>
            <w:r>
              <w:rPr>
                <w:rFonts w:hint="eastAsia" w:ascii="仿宋" w:hAnsi="仿宋" w:eastAsia="仿宋" w:cs="仿宋"/>
                <w:sz w:val="21"/>
                <w:szCs w:val="21"/>
              </w:rPr>
              <w:t>瓦房店市东升气体运输车队</w:t>
            </w:r>
            <w:r>
              <w:rPr>
                <w:rFonts w:hint="eastAsia" w:ascii="仿宋" w:hAnsi="仿宋" w:eastAsia="仿宋" w:cs="仿宋"/>
                <w:color w:val="000000"/>
                <w:kern w:val="0"/>
                <w:sz w:val="21"/>
                <w:szCs w:val="21"/>
              </w:rPr>
              <w:t>。</w:t>
            </w:r>
          </w:p>
        </w:tc>
        <w:tc>
          <w:tcPr>
            <w:tcW w:w="2550"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1、安全管理机构设置及人员配备情况；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2、企业安全生产主体责任落实情况及安全生产管理制度建立情况；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3、企业运输车辆动态监管情况；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4、企业“两类人员”安全考核情况及开展安全生产教育培训情况；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5、企业运输车辆填报电子运单情况；</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6、企业开展安全风险辨识情况。</w:t>
            </w:r>
          </w:p>
        </w:tc>
        <w:tc>
          <w:tcPr>
            <w:tcW w:w="5013"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1、《安全生产法》第二十四条、第九十七条第二项；2、《安全生产法》第四条、第二十二条，《道路危险货物运输管理规定》第八条第四项；3、《道路运输车辆动态监督管理办法》第五条；4、《安全生产法》第二十七条、第二十八条，《道路危险货物运输管理规定》第四十五条；5、《危险货物道路运输安全管理办法》第十三条；6、《安全生产法》第二十五条第三项。</w:t>
            </w:r>
          </w:p>
        </w:tc>
        <w:tc>
          <w:tcPr>
            <w:tcW w:w="1381" w:type="dxa"/>
            <w:vAlign w:val="center"/>
          </w:tcPr>
          <w:p>
            <w:pPr>
              <w:widowControl/>
              <w:spacing w:line="240" w:lineRule="auto"/>
              <w:jc w:val="center"/>
              <w:rPr>
                <w:rFonts w:hint="eastAsia" w:ascii="仿宋" w:hAnsi="仿宋" w:eastAsia="仿宋" w:cs="仿宋"/>
                <w:sz w:val="21"/>
                <w:szCs w:val="21"/>
                <w:vertAlign w:val="baseline"/>
              </w:rPr>
            </w:pPr>
            <w:r>
              <w:rPr>
                <w:rFonts w:hint="eastAsia" w:ascii="仿宋" w:hAnsi="仿宋" w:eastAsia="仿宋" w:cs="仿宋"/>
                <w:kern w:val="0"/>
                <w:sz w:val="21"/>
                <w:szCs w:val="21"/>
              </w:rPr>
              <w:t>202</w:t>
            </w:r>
            <w:r>
              <w:rPr>
                <w:rFonts w:hint="eastAsia" w:ascii="仿宋" w:hAnsi="仿宋" w:eastAsia="仿宋" w:cs="仿宋"/>
                <w:kern w:val="0"/>
                <w:sz w:val="21"/>
                <w:szCs w:val="21"/>
                <w:lang w:val="en-US" w:eastAsia="zh-CN"/>
              </w:rPr>
              <w:t>3</w:t>
            </w:r>
            <w:r>
              <w:rPr>
                <w:rFonts w:hint="eastAsia" w:ascii="仿宋" w:hAnsi="仿宋" w:eastAsia="仿宋" w:cs="仿宋"/>
                <w:kern w:val="0"/>
                <w:sz w:val="21"/>
                <w:szCs w:val="21"/>
              </w:rPr>
              <w:t>年</w:t>
            </w:r>
            <w:r>
              <w:rPr>
                <w:rFonts w:hint="eastAsia" w:ascii="仿宋" w:hAnsi="仿宋" w:eastAsia="仿宋" w:cs="仿宋"/>
                <w:kern w:val="0"/>
                <w:sz w:val="21"/>
                <w:szCs w:val="21"/>
                <w:lang w:eastAsia="zh-CN"/>
              </w:rPr>
              <w:t>全年</w:t>
            </w:r>
          </w:p>
        </w:tc>
        <w:tc>
          <w:tcPr>
            <w:tcW w:w="1400" w:type="dxa"/>
            <w:vAlign w:val="center"/>
          </w:tcPr>
          <w:p>
            <w:pPr>
              <w:widowControl/>
              <w:spacing w:line="240" w:lineRule="auto"/>
              <w:jc w:val="center"/>
              <w:rPr>
                <w:rFonts w:hint="eastAsia" w:ascii="仿宋" w:hAnsi="仿宋" w:eastAsia="仿宋" w:cs="仿宋"/>
                <w:sz w:val="21"/>
                <w:szCs w:val="21"/>
                <w:vertAlign w:val="baseline"/>
              </w:rPr>
            </w:pPr>
            <w:r>
              <w:rPr>
                <w:rFonts w:hint="eastAsia" w:ascii="仿宋" w:hAnsi="仿宋" w:eastAsia="仿宋" w:cs="仿宋"/>
                <w:kern w:val="0"/>
                <w:sz w:val="21"/>
                <w:szCs w:val="21"/>
              </w:rPr>
              <w:t>现场检查、查阅资料</w:t>
            </w:r>
          </w:p>
        </w:tc>
        <w:tc>
          <w:tcPr>
            <w:tcW w:w="1297" w:type="dxa"/>
            <w:vAlign w:val="center"/>
          </w:tcPr>
          <w:p>
            <w:pPr>
              <w:widowControl/>
              <w:spacing w:line="240" w:lineRule="auto"/>
              <w:jc w:val="cente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vertAlign w:val="baseline"/>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sz w:val="21"/>
                <w:szCs w:val="21"/>
              </w:rPr>
              <w:t>瓦房店市</w:t>
            </w:r>
            <w:r>
              <w:rPr>
                <w:rFonts w:hint="eastAsia" w:ascii="仿宋" w:hAnsi="仿宋" w:eastAsia="仿宋" w:cs="仿宋"/>
                <w:sz w:val="21"/>
                <w:szCs w:val="21"/>
                <w:lang w:eastAsia="zh-CN"/>
              </w:rPr>
              <w:t>交通运输</w:t>
            </w:r>
            <w:r>
              <w:rPr>
                <w:rFonts w:hint="eastAsia" w:ascii="仿宋" w:hAnsi="仿宋" w:eastAsia="仿宋" w:cs="仿宋"/>
                <w:sz w:val="21"/>
                <w:szCs w:val="21"/>
              </w:rPr>
              <w:t>局</w:t>
            </w:r>
          </w:p>
        </w:tc>
        <w:tc>
          <w:tcPr>
            <w:tcW w:w="1505"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1、瓦房店长途客运有限责任公司；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2、瓦房店市龙腾运输有限公司；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3、大连华强客运服务有限公司；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4、瓦房店嘉隆运输有限公司；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5、瓦房店德刚客运服务有限公司。</w:t>
            </w:r>
          </w:p>
          <w:p>
            <w:pPr>
              <w:widowControl/>
              <w:spacing w:line="240" w:lineRule="auto"/>
              <w:jc w:val="both"/>
              <w:rPr>
                <w:rFonts w:hint="eastAsia" w:ascii="仿宋" w:hAnsi="仿宋" w:eastAsia="仿宋" w:cs="仿宋"/>
                <w:sz w:val="21"/>
                <w:szCs w:val="21"/>
              </w:rPr>
            </w:pPr>
            <w:r>
              <w:rPr>
                <w:rFonts w:hint="eastAsia" w:ascii="仿宋" w:hAnsi="仿宋" w:eastAsia="仿宋" w:cs="仿宋"/>
                <w:color w:val="000000"/>
                <w:kern w:val="0"/>
                <w:sz w:val="21"/>
                <w:szCs w:val="21"/>
              </w:rPr>
              <w:t>6、</w:t>
            </w:r>
            <w:r>
              <w:rPr>
                <w:rFonts w:hint="eastAsia" w:ascii="仿宋" w:hAnsi="仿宋" w:eastAsia="仿宋" w:cs="仿宋"/>
                <w:sz w:val="21"/>
                <w:szCs w:val="21"/>
              </w:rPr>
              <w:t>瓦房店东亿客运有限公司</w:t>
            </w:r>
          </w:p>
          <w:p>
            <w:pPr>
              <w:widowControl/>
              <w:spacing w:line="240" w:lineRule="auto"/>
              <w:jc w:val="both"/>
              <w:rPr>
                <w:rFonts w:hint="eastAsia" w:ascii="仿宋" w:hAnsi="仿宋" w:eastAsia="仿宋" w:cs="仿宋"/>
                <w:sz w:val="21"/>
                <w:szCs w:val="21"/>
              </w:rPr>
            </w:pPr>
            <w:r>
              <w:rPr>
                <w:rFonts w:hint="eastAsia" w:ascii="仿宋" w:hAnsi="仿宋" w:eastAsia="仿宋" w:cs="仿宋"/>
                <w:sz w:val="21"/>
                <w:szCs w:val="21"/>
              </w:rPr>
              <w:t>7、瓦房店宏鑫客运有限公司</w:t>
            </w:r>
          </w:p>
          <w:p>
            <w:pPr>
              <w:widowControl/>
              <w:spacing w:line="240" w:lineRule="auto"/>
              <w:jc w:val="both"/>
              <w:rPr>
                <w:rFonts w:hint="eastAsia" w:ascii="仿宋" w:hAnsi="仿宋" w:eastAsia="仿宋" w:cs="仿宋"/>
                <w:sz w:val="21"/>
                <w:szCs w:val="21"/>
              </w:rPr>
            </w:pPr>
            <w:r>
              <w:rPr>
                <w:rFonts w:hint="eastAsia" w:ascii="仿宋" w:hAnsi="仿宋" w:eastAsia="仿宋" w:cs="仿宋"/>
                <w:sz w:val="21"/>
                <w:szCs w:val="21"/>
              </w:rPr>
              <w:t>8、瓦房店益鼎客运有限公司</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sz w:val="21"/>
                <w:szCs w:val="21"/>
              </w:rPr>
              <w:t>9、瓦房店市鸿顺客运有限公司</w:t>
            </w:r>
          </w:p>
        </w:tc>
        <w:tc>
          <w:tcPr>
            <w:tcW w:w="2550"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1、安全管理机构设置及人员配备情况；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2、企业安全生产主体责任落实情况及安全生产管理制度建立情况；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3、企业运输车辆动态监管情况；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4、企业“两类人员”安全考核情况及开展安全生产教育培训情况；</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5、企业开展安全风险辨识情况。</w:t>
            </w:r>
          </w:p>
        </w:tc>
        <w:tc>
          <w:tcPr>
            <w:tcW w:w="5013"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1、《安全生产法》第二十四条、第九十七条第二项；2、《安全生产法》第四条、第二十二条；3、《道路运输车辆动态监督管理办法》第五条；4、《安全生产法》第二十七条、第二十八条； 5、《安全生产法》第二十五条第三项。</w:t>
            </w:r>
          </w:p>
        </w:tc>
        <w:tc>
          <w:tcPr>
            <w:tcW w:w="1381" w:type="dxa"/>
            <w:vAlign w:val="center"/>
          </w:tcPr>
          <w:p>
            <w:pPr>
              <w:widowControl/>
              <w:spacing w:line="240" w:lineRule="auto"/>
              <w:jc w:val="center"/>
              <w:rPr>
                <w:rFonts w:hint="eastAsia" w:ascii="仿宋" w:hAnsi="仿宋" w:eastAsia="仿宋" w:cs="仿宋"/>
                <w:sz w:val="21"/>
                <w:szCs w:val="21"/>
                <w:vertAlign w:val="baseline"/>
              </w:rPr>
            </w:pPr>
            <w:r>
              <w:rPr>
                <w:rFonts w:hint="eastAsia" w:ascii="仿宋" w:hAnsi="仿宋" w:eastAsia="仿宋" w:cs="仿宋"/>
                <w:kern w:val="0"/>
                <w:sz w:val="21"/>
                <w:szCs w:val="21"/>
              </w:rPr>
              <w:t>202</w:t>
            </w:r>
            <w:r>
              <w:rPr>
                <w:rFonts w:hint="eastAsia" w:ascii="仿宋" w:hAnsi="仿宋" w:eastAsia="仿宋" w:cs="仿宋"/>
                <w:kern w:val="0"/>
                <w:sz w:val="21"/>
                <w:szCs w:val="21"/>
                <w:lang w:val="en-US" w:eastAsia="zh-CN"/>
              </w:rPr>
              <w:t>3</w:t>
            </w:r>
            <w:r>
              <w:rPr>
                <w:rFonts w:hint="eastAsia" w:ascii="仿宋" w:hAnsi="仿宋" w:eastAsia="仿宋" w:cs="仿宋"/>
                <w:kern w:val="0"/>
                <w:sz w:val="21"/>
                <w:szCs w:val="21"/>
              </w:rPr>
              <w:t>年</w:t>
            </w:r>
            <w:r>
              <w:rPr>
                <w:rFonts w:hint="eastAsia" w:ascii="仿宋" w:hAnsi="仿宋" w:eastAsia="仿宋" w:cs="仿宋"/>
                <w:kern w:val="0"/>
                <w:sz w:val="21"/>
                <w:szCs w:val="21"/>
                <w:lang w:eastAsia="zh-CN"/>
              </w:rPr>
              <w:t>全年</w:t>
            </w:r>
          </w:p>
        </w:tc>
        <w:tc>
          <w:tcPr>
            <w:tcW w:w="1400" w:type="dxa"/>
            <w:vAlign w:val="center"/>
          </w:tcPr>
          <w:p>
            <w:pPr>
              <w:widowControl/>
              <w:spacing w:line="240" w:lineRule="auto"/>
              <w:jc w:val="center"/>
              <w:rPr>
                <w:rFonts w:hint="eastAsia" w:ascii="仿宋" w:hAnsi="仿宋" w:eastAsia="仿宋" w:cs="仿宋"/>
                <w:sz w:val="21"/>
                <w:szCs w:val="21"/>
                <w:vertAlign w:val="baseline"/>
              </w:rPr>
            </w:pPr>
            <w:r>
              <w:rPr>
                <w:rFonts w:hint="eastAsia" w:ascii="仿宋" w:hAnsi="仿宋" w:eastAsia="仿宋" w:cs="仿宋"/>
                <w:kern w:val="0"/>
                <w:sz w:val="21"/>
                <w:szCs w:val="21"/>
              </w:rPr>
              <w:t>现场检查、查阅资料</w:t>
            </w:r>
          </w:p>
        </w:tc>
        <w:tc>
          <w:tcPr>
            <w:tcW w:w="1297" w:type="dxa"/>
            <w:vAlign w:val="center"/>
          </w:tcPr>
          <w:p>
            <w:pPr>
              <w:widowControl/>
              <w:spacing w:line="240" w:lineRule="auto"/>
              <w:jc w:val="center"/>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vertAlign w:val="baseline"/>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sz w:val="21"/>
                <w:szCs w:val="21"/>
              </w:rPr>
              <w:t>瓦房店市</w:t>
            </w:r>
            <w:r>
              <w:rPr>
                <w:rFonts w:hint="eastAsia" w:ascii="仿宋" w:hAnsi="仿宋" w:eastAsia="仿宋" w:cs="仿宋"/>
                <w:sz w:val="21"/>
                <w:szCs w:val="21"/>
                <w:lang w:eastAsia="zh-CN"/>
              </w:rPr>
              <w:t>交通运输</w:t>
            </w:r>
            <w:r>
              <w:rPr>
                <w:rFonts w:hint="eastAsia" w:ascii="仿宋" w:hAnsi="仿宋" w:eastAsia="仿宋" w:cs="仿宋"/>
                <w:sz w:val="21"/>
                <w:szCs w:val="21"/>
              </w:rPr>
              <w:t>局</w:t>
            </w:r>
          </w:p>
        </w:tc>
        <w:tc>
          <w:tcPr>
            <w:tcW w:w="1505"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1、瓦房店长途客运有限责任公司汽车站；</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2、瓦房店市中心客运站。</w:t>
            </w:r>
          </w:p>
        </w:tc>
        <w:tc>
          <w:tcPr>
            <w:tcW w:w="2550"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1、安全管理机构设置及人员配备情况；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2、企业安全生产主体责任落实情况及安全生产管理制度建立情况；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3、企业运输车辆动态监管情况；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4、企业“两类人员”安全考核情况及开展安全生产教育培训情况；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5、企业开展安全风险辨识情况；</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6、落实“三不进站、六不出站”制度情况。</w:t>
            </w:r>
          </w:p>
        </w:tc>
        <w:tc>
          <w:tcPr>
            <w:tcW w:w="5013"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1、《安全生产法》第二十四条、第九十七条第二项；2、《安全生产法》第四条、第二十二条；《道路旅客运输及客运站管理规定》第六十一条；3、《道路运输车辆动态监督管理办法》第五条；4、《安全生产法》第二十七条、第二十八条； 5、《安全生产法》第二十五条第三项；6、《道路旅客运输及客运站管理规定》第六十一条、第八十八条。</w:t>
            </w:r>
          </w:p>
        </w:tc>
        <w:tc>
          <w:tcPr>
            <w:tcW w:w="1381" w:type="dxa"/>
            <w:vAlign w:val="center"/>
          </w:tcPr>
          <w:p>
            <w:pPr>
              <w:widowControl/>
              <w:spacing w:line="240" w:lineRule="auto"/>
              <w:jc w:val="both"/>
              <w:rPr>
                <w:rFonts w:hint="eastAsia" w:ascii="仿宋" w:hAnsi="仿宋" w:eastAsia="仿宋" w:cs="仿宋"/>
                <w:sz w:val="21"/>
                <w:szCs w:val="21"/>
                <w:vertAlign w:val="baseline"/>
                <w:lang w:eastAsia="zh-CN"/>
              </w:rPr>
            </w:pPr>
            <w:r>
              <w:rPr>
                <w:rFonts w:hint="eastAsia" w:ascii="仿宋" w:hAnsi="仿宋" w:eastAsia="仿宋" w:cs="仿宋"/>
                <w:kern w:val="0"/>
                <w:sz w:val="21"/>
                <w:szCs w:val="21"/>
              </w:rPr>
              <w:t>202</w:t>
            </w:r>
            <w:r>
              <w:rPr>
                <w:rFonts w:hint="eastAsia" w:ascii="仿宋" w:hAnsi="仿宋" w:eastAsia="仿宋" w:cs="仿宋"/>
                <w:kern w:val="0"/>
                <w:sz w:val="21"/>
                <w:szCs w:val="21"/>
                <w:lang w:val="en-US" w:eastAsia="zh-CN"/>
              </w:rPr>
              <w:t>3</w:t>
            </w:r>
            <w:r>
              <w:rPr>
                <w:rFonts w:hint="eastAsia" w:ascii="仿宋" w:hAnsi="仿宋" w:eastAsia="仿宋" w:cs="仿宋"/>
                <w:kern w:val="0"/>
                <w:sz w:val="21"/>
                <w:szCs w:val="21"/>
              </w:rPr>
              <w:t>年</w:t>
            </w:r>
            <w:r>
              <w:rPr>
                <w:rFonts w:hint="eastAsia" w:ascii="仿宋" w:hAnsi="仿宋" w:eastAsia="仿宋" w:cs="仿宋"/>
                <w:kern w:val="0"/>
                <w:sz w:val="21"/>
                <w:szCs w:val="21"/>
                <w:lang w:eastAsia="zh-CN"/>
              </w:rPr>
              <w:t>全年</w:t>
            </w:r>
          </w:p>
        </w:tc>
        <w:tc>
          <w:tcPr>
            <w:tcW w:w="1400"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kern w:val="0"/>
                <w:sz w:val="21"/>
                <w:szCs w:val="21"/>
              </w:rPr>
              <w:t>现场检查、查阅资料</w:t>
            </w:r>
          </w:p>
        </w:tc>
        <w:tc>
          <w:tcPr>
            <w:tcW w:w="1297" w:type="dxa"/>
            <w:vAlign w:val="center"/>
          </w:tcPr>
          <w:p>
            <w:pPr>
              <w:widowControl/>
              <w:spacing w:line="240" w:lineRule="auto"/>
              <w:jc w:val="both"/>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vertAlign w:val="baseline"/>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sz w:val="21"/>
                <w:szCs w:val="21"/>
              </w:rPr>
              <w:t>瓦房店市</w:t>
            </w:r>
            <w:r>
              <w:rPr>
                <w:rFonts w:hint="eastAsia" w:ascii="仿宋" w:hAnsi="仿宋" w:eastAsia="仿宋" w:cs="仿宋"/>
                <w:sz w:val="21"/>
                <w:szCs w:val="21"/>
                <w:lang w:eastAsia="zh-CN"/>
              </w:rPr>
              <w:t>交通运输</w:t>
            </w:r>
            <w:r>
              <w:rPr>
                <w:rFonts w:hint="eastAsia" w:ascii="仿宋" w:hAnsi="仿宋" w:eastAsia="仿宋" w:cs="仿宋"/>
                <w:sz w:val="21"/>
                <w:szCs w:val="21"/>
              </w:rPr>
              <w:t>局</w:t>
            </w:r>
          </w:p>
        </w:tc>
        <w:tc>
          <w:tcPr>
            <w:tcW w:w="1505"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1、瓦房店市八方物流有限公司；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2、大连佰润运输有限公司；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3、大连恒宁运输有限公司；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4、瓦房店义达物流有限公司；</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5、大连双杰物流有限公司。</w:t>
            </w:r>
          </w:p>
        </w:tc>
        <w:tc>
          <w:tcPr>
            <w:tcW w:w="2550"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1、安全管理机构设置及人员配备情况；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2、企业安全生产主体责任落实情况及安全生产管理制度建立情况；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3、企业运输车辆动态监管情况；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4、企业“两类人员”安全考核情况及开展安全生产教育培训情况；</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5、企业开展安全风险辨识情况。</w:t>
            </w:r>
          </w:p>
        </w:tc>
        <w:tc>
          <w:tcPr>
            <w:tcW w:w="5013"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1、《安全生产法》第二十四条、第九十七条第二项；2、《安全生产法》第四条、第二十二条； 3、《道路运输车辆动态监督管理办法》第五条；4、《安全生产法》第二十七条、第二十八条； 5、《安全生产法》第二十五条第三项。</w:t>
            </w:r>
          </w:p>
        </w:tc>
        <w:tc>
          <w:tcPr>
            <w:tcW w:w="1381"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kern w:val="0"/>
                <w:sz w:val="21"/>
                <w:szCs w:val="21"/>
              </w:rPr>
              <w:t>202</w:t>
            </w:r>
            <w:r>
              <w:rPr>
                <w:rFonts w:hint="eastAsia" w:ascii="仿宋" w:hAnsi="仿宋" w:eastAsia="仿宋" w:cs="仿宋"/>
                <w:kern w:val="0"/>
                <w:sz w:val="21"/>
                <w:szCs w:val="21"/>
                <w:lang w:val="en-US" w:eastAsia="zh-CN"/>
              </w:rPr>
              <w:t>3</w:t>
            </w:r>
            <w:r>
              <w:rPr>
                <w:rFonts w:hint="eastAsia" w:ascii="仿宋" w:hAnsi="仿宋" w:eastAsia="仿宋" w:cs="仿宋"/>
                <w:kern w:val="0"/>
                <w:sz w:val="21"/>
                <w:szCs w:val="21"/>
              </w:rPr>
              <w:t>年</w:t>
            </w:r>
            <w:r>
              <w:rPr>
                <w:rFonts w:hint="eastAsia" w:ascii="仿宋" w:hAnsi="仿宋" w:eastAsia="仿宋" w:cs="仿宋"/>
                <w:kern w:val="0"/>
                <w:sz w:val="21"/>
                <w:szCs w:val="21"/>
                <w:lang w:eastAsia="zh-CN"/>
              </w:rPr>
              <w:t>全年</w:t>
            </w:r>
          </w:p>
        </w:tc>
        <w:tc>
          <w:tcPr>
            <w:tcW w:w="1400"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kern w:val="0"/>
                <w:sz w:val="21"/>
                <w:szCs w:val="21"/>
              </w:rPr>
              <w:t>现场检查、查阅资料</w:t>
            </w:r>
          </w:p>
        </w:tc>
        <w:tc>
          <w:tcPr>
            <w:tcW w:w="1297" w:type="dxa"/>
            <w:vAlign w:val="center"/>
          </w:tcPr>
          <w:p>
            <w:pPr>
              <w:widowControl/>
              <w:spacing w:line="240" w:lineRule="auto"/>
              <w:jc w:val="both"/>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vertAlign w:val="baseline"/>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sz w:val="21"/>
                <w:szCs w:val="21"/>
              </w:rPr>
              <w:t>瓦房店市</w:t>
            </w:r>
            <w:r>
              <w:rPr>
                <w:rFonts w:hint="eastAsia" w:ascii="仿宋" w:hAnsi="仿宋" w:eastAsia="仿宋" w:cs="仿宋"/>
                <w:sz w:val="21"/>
                <w:szCs w:val="21"/>
                <w:lang w:eastAsia="zh-CN"/>
              </w:rPr>
              <w:t>交通运输</w:t>
            </w:r>
            <w:r>
              <w:rPr>
                <w:rFonts w:hint="eastAsia" w:ascii="仿宋" w:hAnsi="仿宋" w:eastAsia="仿宋" w:cs="仿宋"/>
                <w:sz w:val="21"/>
                <w:szCs w:val="21"/>
              </w:rPr>
              <w:t>局</w:t>
            </w:r>
          </w:p>
        </w:tc>
        <w:tc>
          <w:tcPr>
            <w:tcW w:w="1505"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1、瓦房店德刚机动车驾驶员培训有限公司；</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2、瓦房店海洋机动车驾驶员培训有限公司；</w:t>
            </w:r>
          </w:p>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3、瓦房店永青驾驶员培训学校</w:t>
            </w:r>
          </w:p>
        </w:tc>
        <w:tc>
          <w:tcPr>
            <w:tcW w:w="2550"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1、安全管理机构设置及人员配备情况；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2、企业安全生产主体责任落实情况及安全生产管理制度建立情况；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3、企业“两类人员”安全考核情况及开展安全生产教育培训情况；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4、企业开展安全风险辨识情况。</w:t>
            </w:r>
          </w:p>
          <w:p>
            <w:pPr>
              <w:widowControl/>
              <w:spacing w:line="240" w:lineRule="auto"/>
              <w:jc w:val="both"/>
              <w:rPr>
                <w:rFonts w:hint="eastAsia" w:ascii="仿宋" w:hAnsi="仿宋" w:eastAsia="仿宋" w:cs="仿宋"/>
                <w:sz w:val="21"/>
                <w:szCs w:val="21"/>
                <w:vertAlign w:val="baseline"/>
              </w:rPr>
            </w:pPr>
          </w:p>
        </w:tc>
        <w:tc>
          <w:tcPr>
            <w:tcW w:w="5013"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1、《安全生产法》第二十四条、第九十七条第二项；2、《安全生产法》第四条、第二十二条； 3、《安全生产法》第二十七条、第二十八条；4、《安全生产法》第二十五条第三项。</w:t>
            </w:r>
          </w:p>
        </w:tc>
        <w:tc>
          <w:tcPr>
            <w:tcW w:w="1381"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kern w:val="0"/>
                <w:sz w:val="21"/>
                <w:szCs w:val="21"/>
              </w:rPr>
              <w:t>202</w:t>
            </w:r>
            <w:r>
              <w:rPr>
                <w:rFonts w:hint="eastAsia" w:ascii="仿宋" w:hAnsi="仿宋" w:eastAsia="仿宋" w:cs="仿宋"/>
                <w:kern w:val="0"/>
                <w:sz w:val="21"/>
                <w:szCs w:val="21"/>
                <w:lang w:val="en-US" w:eastAsia="zh-CN"/>
              </w:rPr>
              <w:t>3</w:t>
            </w:r>
            <w:r>
              <w:rPr>
                <w:rFonts w:hint="eastAsia" w:ascii="仿宋" w:hAnsi="仿宋" w:eastAsia="仿宋" w:cs="仿宋"/>
                <w:kern w:val="0"/>
                <w:sz w:val="21"/>
                <w:szCs w:val="21"/>
              </w:rPr>
              <w:t>年</w:t>
            </w:r>
            <w:r>
              <w:rPr>
                <w:rFonts w:hint="eastAsia" w:ascii="仿宋" w:hAnsi="仿宋" w:eastAsia="仿宋" w:cs="仿宋"/>
                <w:kern w:val="0"/>
                <w:sz w:val="21"/>
                <w:szCs w:val="21"/>
                <w:lang w:eastAsia="zh-CN"/>
              </w:rPr>
              <w:t>全年</w:t>
            </w:r>
          </w:p>
        </w:tc>
        <w:tc>
          <w:tcPr>
            <w:tcW w:w="1400"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kern w:val="0"/>
                <w:sz w:val="21"/>
                <w:szCs w:val="21"/>
              </w:rPr>
              <w:t>现场检查、查阅资料</w:t>
            </w:r>
          </w:p>
        </w:tc>
        <w:tc>
          <w:tcPr>
            <w:tcW w:w="1297" w:type="dxa"/>
            <w:vAlign w:val="center"/>
          </w:tcPr>
          <w:p>
            <w:pPr>
              <w:widowControl/>
              <w:spacing w:line="240" w:lineRule="auto"/>
              <w:jc w:val="both"/>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5"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vertAlign w:val="baseline"/>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sz w:val="21"/>
                <w:szCs w:val="21"/>
              </w:rPr>
              <w:t>瓦房店市</w:t>
            </w:r>
            <w:r>
              <w:rPr>
                <w:rFonts w:hint="eastAsia" w:ascii="仿宋" w:hAnsi="仿宋" w:eastAsia="仿宋" w:cs="仿宋"/>
                <w:sz w:val="21"/>
                <w:szCs w:val="21"/>
                <w:lang w:eastAsia="zh-CN"/>
              </w:rPr>
              <w:t>交通运输</w:t>
            </w:r>
            <w:r>
              <w:rPr>
                <w:rFonts w:hint="eastAsia" w:ascii="仿宋" w:hAnsi="仿宋" w:eastAsia="仿宋" w:cs="仿宋"/>
                <w:sz w:val="21"/>
                <w:szCs w:val="21"/>
              </w:rPr>
              <w:t>局</w:t>
            </w:r>
          </w:p>
        </w:tc>
        <w:tc>
          <w:tcPr>
            <w:tcW w:w="1505"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机动车维修企业</w:t>
            </w:r>
          </w:p>
        </w:tc>
        <w:tc>
          <w:tcPr>
            <w:tcW w:w="2550" w:type="dxa"/>
            <w:vAlign w:val="center"/>
          </w:tcPr>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1、安全管理机构设置及人员配备情况；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2、企业安全生产主体责任落实情况及安全生产管理制度建立情况；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3、企业“两类人员”安全考核情况及开展安全生产教育培训情况；</w:t>
            </w:r>
          </w:p>
          <w:p>
            <w:pPr>
              <w:widowControl/>
              <w:spacing w:line="240" w:lineRule="auto"/>
              <w:jc w:val="both"/>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4、企业开展安全风险辨识情况。</w:t>
            </w:r>
          </w:p>
          <w:p>
            <w:pPr>
              <w:widowControl/>
              <w:spacing w:line="240" w:lineRule="auto"/>
              <w:jc w:val="both"/>
              <w:rPr>
                <w:rFonts w:hint="eastAsia" w:ascii="仿宋" w:hAnsi="仿宋" w:eastAsia="仿宋" w:cs="仿宋"/>
                <w:sz w:val="21"/>
                <w:szCs w:val="21"/>
                <w:vertAlign w:val="baseline"/>
              </w:rPr>
            </w:pPr>
          </w:p>
        </w:tc>
        <w:tc>
          <w:tcPr>
            <w:tcW w:w="5013"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color w:val="000000"/>
                <w:kern w:val="0"/>
                <w:sz w:val="21"/>
                <w:szCs w:val="21"/>
              </w:rPr>
              <w:t>1、《安全生产法》第二十四条、第九十七条第二项；2、《安全生产法》第四条、第二十二条； 3、《安全生产法》第二十七条、第二十八条、《机动车维修管理规定》第二十三条；4、《安全生产法》第二十五条第三项。</w:t>
            </w:r>
          </w:p>
        </w:tc>
        <w:tc>
          <w:tcPr>
            <w:tcW w:w="1381"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kern w:val="0"/>
                <w:sz w:val="21"/>
                <w:szCs w:val="21"/>
              </w:rPr>
              <w:t>202</w:t>
            </w:r>
            <w:r>
              <w:rPr>
                <w:rFonts w:hint="eastAsia" w:ascii="仿宋" w:hAnsi="仿宋" w:eastAsia="仿宋" w:cs="仿宋"/>
                <w:kern w:val="0"/>
                <w:sz w:val="21"/>
                <w:szCs w:val="21"/>
                <w:lang w:val="en-US" w:eastAsia="zh-CN"/>
              </w:rPr>
              <w:t>3</w:t>
            </w:r>
            <w:r>
              <w:rPr>
                <w:rFonts w:hint="eastAsia" w:ascii="仿宋" w:hAnsi="仿宋" w:eastAsia="仿宋" w:cs="仿宋"/>
                <w:kern w:val="0"/>
                <w:sz w:val="21"/>
                <w:szCs w:val="21"/>
              </w:rPr>
              <w:t>年</w:t>
            </w:r>
            <w:r>
              <w:rPr>
                <w:rFonts w:hint="eastAsia" w:ascii="仿宋" w:hAnsi="仿宋" w:eastAsia="仿宋" w:cs="仿宋"/>
                <w:kern w:val="0"/>
                <w:sz w:val="21"/>
                <w:szCs w:val="21"/>
                <w:lang w:eastAsia="zh-CN"/>
              </w:rPr>
              <w:t>全年</w:t>
            </w:r>
          </w:p>
        </w:tc>
        <w:tc>
          <w:tcPr>
            <w:tcW w:w="1400" w:type="dxa"/>
            <w:vAlign w:val="center"/>
          </w:tcPr>
          <w:p>
            <w:pPr>
              <w:widowControl/>
              <w:spacing w:line="240" w:lineRule="auto"/>
              <w:jc w:val="both"/>
              <w:rPr>
                <w:rFonts w:hint="eastAsia" w:ascii="仿宋" w:hAnsi="仿宋" w:eastAsia="仿宋" w:cs="仿宋"/>
                <w:sz w:val="21"/>
                <w:szCs w:val="21"/>
                <w:vertAlign w:val="baseline"/>
              </w:rPr>
            </w:pPr>
            <w:r>
              <w:rPr>
                <w:rFonts w:hint="eastAsia" w:ascii="仿宋" w:hAnsi="仿宋" w:eastAsia="仿宋" w:cs="仿宋"/>
                <w:kern w:val="0"/>
                <w:sz w:val="21"/>
                <w:szCs w:val="21"/>
              </w:rPr>
              <w:t>现场检查、查阅资料</w:t>
            </w:r>
          </w:p>
        </w:tc>
        <w:tc>
          <w:tcPr>
            <w:tcW w:w="1297" w:type="dxa"/>
            <w:vAlign w:val="center"/>
          </w:tcPr>
          <w:p>
            <w:pPr>
              <w:widowControl/>
              <w:spacing w:line="240" w:lineRule="auto"/>
              <w:jc w:val="both"/>
              <w:rPr>
                <w:rFonts w:hint="eastAsia" w:ascii="仿宋" w:hAnsi="仿宋" w:eastAsia="仿宋" w:cs="仿宋"/>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vertAlign w:val="baseline"/>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vertAlign w:val="baseline"/>
              </w:rPr>
            </w:pPr>
            <w:r>
              <w:rPr>
                <w:rFonts w:hint="eastAsia" w:ascii="仿宋" w:hAnsi="仿宋" w:eastAsia="仿宋" w:cs="仿宋"/>
                <w:sz w:val="21"/>
                <w:szCs w:val="21"/>
              </w:rPr>
              <w:t>瓦房店市</w:t>
            </w:r>
            <w:r>
              <w:rPr>
                <w:rFonts w:hint="eastAsia" w:ascii="仿宋" w:hAnsi="仿宋" w:eastAsia="仿宋" w:cs="仿宋"/>
                <w:sz w:val="21"/>
                <w:szCs w:val="21"/>
                <w:lang w:eastAsia="zh-CN"/>
              </w:rPr>
              <w:t>交通运输</w:t>
            </w:r>
            <w:r>
              <w:rPr>
                <w:rFonts w:hint="eastAsia" w:ascii="仿宋" w:hAnsi="仿宋" w:eastAsia="仿宋" w:cs="仿宋"/>
                <w:sz w:val="21"/>
                <w:szCs w:val="21"/>
              </w:rPr>
              <w:t>局</w:t>
            </w:r>
          </w:p>
        </w:tc>
        <w:tc>
          <w:tcPr>
            <w:tcW w:w="1505" w:type="dxa"/>
            <w:vAlign w:val="center"/>
          </w:tcPr>
          <w:p>
            <w:pPr>
              <w:widowControl/>
              <w:shd w:val="clear" w:color="000000"/>
              <w:autoSpaceDE/>
              <w:autoSpaceDN/>
              <w:snapToGrid/>
              <w:spacing w:before="0" w:after="0" w:line="240" w:lineRule="auto"/>
              <w:ind w:left="0" w:firstLine="0"/>
              <w:jc w:val="both"/>
              <w:rPr>
                <w:rFonts w:hint="eastAsia" w:ascii="仿宋" w:hAnsi="仿宋" w:eastAsia="仿宋" w:cs="仿宋"/>
                <w:b w:val="0"/>
                <w:w w:val="100"/>
                <w:sz w:val="21"/>
                <w:szCs w:val="21"/>
                <w:lang w:eastAsia="zh-CN"/>
              </w:rPr>
            </w:pPr>
            <w:r>
              <w:rPr>
                <w:rFonts w:hint="eastAsia" w:ascii="仿宋" w:hAnsi="仿宋" w:eastAsia="仿宋" w:cs="仿宋"/>
                <w:b w:val="0"/>
                <w:w w:val="100"/>
                <w:sz w:val="21"/>
                <w:szCs w:val="21"/>
                <w:lang w:eastAsia="zh-CN"/>
              </w:rPr>
              <w:t>1.瓦房店顺源快艇有限公司</w:t>
            </w:r>
          </w:p>
          <w:p>
            <w:pPr>
              <w:widowControl/>
              <w:shd w:val="clear" w:color="000000"/>
              <w:autoSpaceDE/>
              <w:autoSpaceDN/>
              <w:snapToGrid/>
              <w:spacing w:before="0" w:after="0" w:line="240" w:lineRule="auto"/>
              <w:ind w:left="0" w:firstLine="0"/>
              <w:jc w:val="both"/>
              <w:rPr>
                <w:rFonts w:hint="eastAsia" w:ascii="仿宋" w:hAnsi="仿宋" w:eastAsia="仿宋" w:cs="仿宋"/>
                <w:b w:val="0"/>
                <w:w w:val="100"/>
                <w:sz w:val="21"/>
                <w:szCs w:val="21"/>
                <w:lang w:eastAsia="zh-CN"/>
              </w:rPr>
            </w:pPr>
            <w:r>
              <w:rPr>
                <w:rFonts w:hint="eastAsia" w:ascii="仿宋" w:hAnsi="仿宋" w:eastAsia="仿宋" w:cs="仿宋"/>
                <w:b w:val="0"/>
                <w:w w:val="100"/>
                <w:sz w:val="21"/>
                <w:szCs w:val="21"/>
                <w:lang w:eastAsia="zh-CN"/>
              </w:rPr>
              <w:t xml:space="preserve">2.大连仙浴湾企业集团旅游服务公司 </w:t>
            </w:r>
          </w:p>
          <w:p>
            <w:pPr>
              <w:widowControl/>
              <w:shd w:val="clear" w:color="000000"/>
              <w:autoSpaceDE/>
              <w:autoSpaceDN/>
              <w:snapToGrid/>
              <w:spacing w:before="0" w:after="0" w:line="240" w:lineRule="auto"/>
              <w:ind w:left="0" w:firstLine="0"/>
              <w:jc w:val="both"/>
              <w:rPr>
                <w:rFonts w:hint="eastAsia" w:ascii="仿宋" w:hAnsi="仿宋" w:eastAsia="仿宋" w:cs="仿宋"/>
                <w:b w:val="0"/>
                <w:w w:val="100"/>
                <w:sz w:val="21"/>
                <w:szCs w:val="21"/>
                <w:lang w:eastAsia="zh-CN"/>
              </w:rPr>
            </w:pPr>
            <w:r>
              <w:rPr>
                <w:rFonts w:hint="eastAsia" w:ascii="仿宋" w:hAnsi="仿宋" w:eastAsia="仿宋" w:cs="仿宋"/>
                <w:b w:val="0"/>
                <w:w w:val="100"/>
                <w:sz w:val="21"/>
                <w:szCs w:val="21"/>
                <w:lang w:eastAsia="zh-CN"/>
              </w:rPr>
              <w:t>3.瓦房店喜顺快艇有限公司</w:t>
            </w:r>
          </w:p>
          <w:p>
            <w:pPr>
              <w:pageBreakBefore w:val="0"/>
              <w:autoSpaceDE/>
              <w:autoSpaceDN/>
              <w:bidi w:val="0"/>
              <w:snapToGrid/>
              <w:spacing w:line="240" w:lineRule="auto"/>
              <w:ind w:left="0" w:leftChars="0" w:firstLine="0" w:firstLineChars="0"/>
              <w:jc w:val="both"/>
              <w:outlineLvl w:val="9"/>
              <w:rPr>
                <w:rFonts w:hint="eastAsia" w:ascii="仿宋" w:hAnsi="仿宋" w:eastAsia="仿宋" w:cs="仿宋"/>
                <w:sz w:val="21"/>
                <w:szCs w:val="21"/>
                <w:vertAlign w:val="baseline"/>
              </w:rPr>
            </w:pPr>
            <w:r>
              <w:rPr>
                <w:rFonts w:hint="eastAsia" w:ascii="仿宋" w:hAnsi="仿宋" w:eastAsia="仿宋" w:cs="仿宋"/>
                <w:b w:val="0"/>
                <w:w w:val="100"/>
                <w:sz w:val="21"/>
                <w:szCs w:val="21"/>
                <w:lang w:eastAsia="zh-CN"/>
              </w:rPr>
              <w:t>4.大连诗图旅游项目开发有限公司</w:t>
            </w:r>
          </w:p>
        </w:tc>
        <w:tc>
          <w:tcPr>
            <w:tcW w:w="2550" w:type="dxa"/>
            <w:vAlign w:val="center"/>
          </w:tcPr>
          <w:p>
            <w:pPr>
              <w:pageBreakBefore w:val="0"/>
              <w:autoSpaceDE/>
              <w:autoSpaceDN/>
              <w:bidi w:val="0"/>
              <w:snapToGrid/>
              <w:spacing w:line="240" w:lineRule="auto"/>
              <w:ind w:left="0" w:leftChars="0" w:firstLine="0" w:firstLineChars="0"/>
              <w:jc w:val="both"/>
              <w:outlineLvl w:val="9"/>
              <w:rPr>
                <w:rFonts w:hint="eastAsia" w:ascii="仿宋" w:hAnsi="仿宋" w:eastAsia="仿宋" w:cs="仿宋"/>
                <w:sz w:val="21"/>
                <w:szCs w:val="21"/>
                <w:vertAlign w:val="baseline"/>
              </w:rPr>
            </w:pPr>
            <w:r>
              <w:rPr>
                <w:rFonts w:hint="eastAsia" w:ascii="仿宋" w:hAnsi="仿宋" w:eastAsia="仿宋" w:cs="仿宋"/>
                <w:sz w:val="21"/>
                <w:szCs w:val="21"/>
              </w:rPr>
              <w:t>　企业营运资质、安全管理人员配备、航道管理、岸基管理，日常检查、维护保养情况和救生消防设施完好情况等</w:t>
            </w:r>
          </w:p>
        </w:tc>
        <w:tc>
          <w:tcPr>
            <w:tcW w:w="5013" w:type="dxa"/>
            <w:vAlign w:val="center"/>
          </w:tcPr>
          <w:p>
            <w:pPr>
              <w:pageBreakBefore w:val="0"/>
              <w:autoSpaceDE/>
              <w:autoSpaceDN/>
              <w:bidi w:val="0"/>
              <w:snapToGrid/>
              <w:spacing w:line="240" w:lineRule="auto"/>
              <w:ind w:left="0" w:leftChars="0" w:firstLine="0" w:firstLineChars="0"/>
              <w:jc w:val="both"/>
              <w:outlineLvl w:val="9"/>
              <w:rPr>
                <w:rFonts w:hint="eastAsia" w:ascii="仿宋" w:hAnsi="仿宋" w:eastAsia="仿宋" w:cs="仿宋"/>
                <w:sz w:val="21"/>
                <w:szCs w:val="21"/>
                <w:vertAlign w:val="baseline"/>
              </w:rPr>
            </w:pPr>
            <w:r>
              <w:rPr>
                <w:rFonts w:hint="eastAsia" w:ascii="仿宋" w:hAnsi="仿宋" w:eastAsia="仿宋" w:cs="仿宋"/>
                <w:sz w:val="21"/>
                <w:szCs w:val="21"/>
              </w:rPr>
              <w:t>《安全生产法》，《港口法》，《国内水路运输管理条例》，《国内水路运输辅助业管理规定》，《国内水路运输管理规定》，《辽宁省水路运输管理规定》，《港口经营管理定》，《中华人民共和国国际海运条例》</w:t>
            </w:r>
          </w:p>
        </w:tc>
        <w:tc>
          <w:tcPr>
            <w:tcW w:w="1381" w:type="dxa"/>
            <w:vAlign w:val="center"/>
          </w:tcPr>
          <w:p>
            <w:pPr>
              <w:pageBreakBefore w:val="0"/>
              <w:autoSpaceDE/>
              <w:autoSpaceDN/>
              <w:bidi w:val="0"/>
              <w:snapToGrid/>
              <w:spacing w:line="240" w:lineRule="auto"/>
              <w:ind w:left="0" w:leftChars="0" w:firstLine="0" w:firstLineChars="0"/>
              <w:jc w:val="both"/>
              <w:outlineLvl w:val="9"/>
              <w:rPr>
                <w:rFonts w:hint="eastAsia" w:ascii="仿宋" w:hAnsi="仿宋" w:eastAsia="仿宋" w:cs="仿宋"/>
                <w:sz w:val="21"/>
                <w:szCs w:val="21"/>
                <w:vertAlign w:val="baseline"/>
              </w:rPr>
            </w:pPr>
            <w:r>
              <w:rPr>
                <w:rFonts w:hint="eastAsia" w:ascii="仿宋" w:hAnsi="仿宋" w:eastAsia="仿宋" w:cs="仿宋"/>
                <w:sz w:val="21"/>
                <w:szCs w:val="21"/>
                <w:lang w:val="en-US" w:eastAsia="zh-CN"/>
              </w:rPr>
              <w:t>2023年</w:t>
            </w:r>
            <w:r>
              <w:rPr>
                <w:rFonts w:hint="eastAsia" w:ascii="仿宋" w:hAnsi="仿宋" w:eastAsia="仿宋" w:cs="仿宋"/>
                <w:sz w:val="21"/>
                <w:szCs w:val="21"/>
              </w:rPr>
              <w:t>7月至9月</w:t>
            </w:r>
          </w:p>
        </w:tc>
        <w:tc>
          <w:tcPr>
            <w:tcW w:w="1400" w:type="dxa"/>
            <w:vAlign w:val="center"/>
          </w:tcPr>
          <w:p>
            <w:pPr>
              <w:pageBreakBefore w:val="0"/>
              <w:autoSpaceDE/>
              <w:autoSpaceDN/>
              <w:bidi w:val="0"/>
              <w:snapToGrid/>
              <w:spacing w:line="240" w:lineRule="auto"/>
              <w:ind w:left="0" w:leftChars="0" w:firstLine="0" w:firstLineChars="0"/>
              <w:jc w:val="both"/>
              <w:outlineLvl w:val="9"/>
              <w:rPr>
                <w:rFonts w:hint="eastAsia" w:ascii="仿宋" w:hAnsi="仿宋" w:eastAsia="仿宋" w:cs="仿宋"/>
                <w:sz w:val="21"/>
                <w:szCs w:val="21"/>
                <w:vertAlign w:val="baseline"/>
              </w:rPr>
            </w:pPr>
            <w:r>
              <w:rPr>
                <w:rFonts w:hint="eastAsia" w:ascii="仿宋" w:hAnsi="仿宋" w:eastAsia="仿宋" w:cs="仿宋"/>
                <w:sz w:val="21"/>
                <w:szCs w:val="21"/>
              </w:rPr>
              <w:t>听汇报、查现场、看资料、召开座谈会、问卷调查等</w:t>
            </w:r>
          </w:p>
        </w:tc>
        <w:tc>
          <w:tcPr>
            <w:tcW w:w="1297" w:type="dxa"/>
            <w:vAlign w:val="center"/>
          </w:tcPr>
          <w:p>
            <w:pPr>
              <w:pageBreakBefore w:val="0"/>
              <w:autoSpaceDE/>
              <w:autoSpaceDN/>
              <w:bidi w:val="0"/>
              <w:snapToGrid/>
              <w:spacing w:line="240" w:lineRule="auto"/>
              <w:ind w:left="0" w:leftChars="0" w:firstLine="0" w:firstLineChars="0"/>
              <w:jc w:val="both"/>
              <w:outlineLvl w:val="9"/>
              <w:rPr>
                <w:rFonts w:hint="eastAsia" w:ascii="仿宋" w:hAnsi="仿宋" w:eastAsia="仿宋" w:cs="仿宋"/>
                <w:sz w:val="21"/>
                <w:szCs w:val="21"/>
                <w:vertAlign w:val="baseline"/>
              </w:rPr>
            </w:pPr>
            <w:r>
              <w:rPr>
                <w:rFonts w:hint="eastAsia" w:ascii="仿宋" w:hAnsi="仿宋" w:eastAsia="仿宋" w:cs="仿宋"/>
                <w:sz w:val="21"/>
                <w:szCs w:val="21"/>
              </w:rPr>
              <w:t>农业农村局、公安局、海警工作站、海事局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5" w:hRule="atLeast"/>
        </w:trPr>
        <w:tc>
          <w:tcPr>
            <w:tcW w:w="722" w:type="dxa"/>
            <w:vAlign w:val="center"/>
          </w:tcPr>
          <w:p>
            <w:pPr>
              <w:widowControl/>
              <w:spacing w:line="240" w:lineRule="auto"/>
              <w:jc w:val="center"/>
              <w:rPr>
                <w:rFonts w:hint="eastAsia" w:ascii="宋体" w:hAnsi="宋体" w:eastAsia="宋体" w:cs="宋体"/>
                <w:kern w:val="0"/>
                <w:sz w:val="15"/>
                <w:szCs w:val="15"/>
                <w:lang w:val="en-US" w:eastAsia="zh-CN"/>
              </w:rPr>
            </w:pPr>
            <w:r>
              <w:rPr>
                <w:rFonts w:hint="eastAsia" w:ascii="宋体" w:hAnsi="宋体" w:cs="宋体"/>
                <w:kern w:val="0"/>
                <w:sz w:val="24"/>
                <w:szCs w:val="24"/>
                <w:lang w:val="en-US" w:eastAsia="zh-CN"/>
              </w:rPr>
              <w:t>5</w:t>
            </w:r>
          </w:p>
        </w:tc>
        <w:tc>
          <w:tcPr>
            <w:tcW w:w="174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瓦房店市教育局</w:t>
            </w:r>
          </w:p>
        </w:tc>
        <w:tc>
          <w:tcPr>
            <w:tcW w:w="1505" w:type="dxa"/>
            <w:vAlign w:val="center"/>
          </w:tcPr>
          <w:p>
            <w:pPr>
              <w:widowControl/>
              <w:spacing w:line="240" w:lineRule="auto"/>
              <w:jc w:val="both"/>
              <w:rPr>
                <w:rFonts w:hint="eastAsia" w:ascii="仿宋" w:hAnsi="仿宋" w:eastAsia="仿宋" w:cs="仿宋"/>
                <w:b w:val="0"/>
                <w:bCs w:val="0"/>
                <w:w w:val="100"/>
                <w:sz w:val="21"/>
                <w:szCs w:val="21"/>
                <w:lang w:eastAsia="zh-CN"/>
              </w:rPr>
            </w:pPr>
            <w:r>
              <w:rPr>
                <w:rFonts w:hint="eastAsia" w:ascii="仿宋" w:hAnsi="仿宋" w:eastAsia="仿宋" w:cs="仿宋"/>
                <w:b w:val="0"/>
                <w:bCs w:val="0"/>
                <w:kern w:val="0"/>
                <w:sz w:val="21"/>
                <w:szCs w:val="21"/>
              </w:rPr>
              <w:t>校外培训机构</w:t>
            </w:r>
          </w:p>
        </w:tc>
        <w:tc>
          <w:tcPr>
            <w:tcW w:w="255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授课内容、资金监管、常规管理</w:t>
            </w:r>
          </w:p>
        </w:tc>
        <w:tc>
          <w:tcPr>
            <w:tcW w:w="501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《关于进一步减轻义务教育阶段学生作业负担和校外培训负担的意见》《民办教育促进法》《未成年人保护法》</w:t>
            </w:r>
          </w:p>
        </w:tc>
        <w:tc>
          <w:tcPr>
            <w:tcW w:w="1381"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2023年全年</w:t>
            </w:r>
          </w:p>
        </w:tc>
        <w:tc>
          <w:tcPr>
            <w:tcW w:w="140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暗访、抽查、排查、联合检查</w:t>
            </w:r>
          </w:p>
        </w:tc>
        <w:tc>
          <w:tcPr>
            <w:tcW w:w="1297"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市场局、公安局、属地政府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2"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24"/>
                <w:szCs w:val="24"/>
                <w:lang w:val="en-US" w:eastAsia="zh-CN"/>
              </w:rPr>
            </w:pPr>
            <w:r>
              <w:rPr>
                <w:rFonts w:hint="eastAsia" w:ascii="宋体" w:hAnsi="宋体" w:cs="宋体"/>
                <w:kern w:val="0"/>
                <w:sz w:val="24"/>
                <w:szCs w:val="24"/>
                <w:lang w:val="en-US" w:eastAsia="zh-CN"/>
              </w:rPr>
              <w:t>6</w:t>
            </w:r>
          </w:p>
        </w:tc>
        <w:tc>
          <w:tcPr>
            <w:tcW w:w="174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瓦房店市民政局</w:t>
            </w:r>
          </w:p>
        </w:tc>
        <w:tc>
          <w:tcPr>
            <w:tcW w:w="1505" w:type="dxa"/>
            <w:vAlign w:val="center"/>
          </w:tcPr>
          <w:p>
            <w:pPr>
              <w:widowControl/>
              <w:spacing w:line="240" w:lineRule="auto"/>
              <w:jc w:val="both"/>
              <w:rPr>
                <w:rFonts w:hint="eastAsia" w:ascii="仿宋" w:hAnsi="仿宋" w:eastAsia="仿宋" w:cs="仿宋"/>
                <w:b w:val="0"/>
                <w:bCs w:val="0"/>
                <w:w w:val="100"/>
                <w:sz w:val="21"/>
                <w:szCs w:val="21"/>
                <w:lang w:eastAsia="zh-CN"/>
              </w:rPr>
            </w:pPr>
            <w:r>
              <w:rPr>
                <w:rFonts w:hint="eastAsia" w:ascii="仿宋" w:hAnsi="仿宋" w:eastAsia="仿宋" w:cs="仿宋"/>
                <w:b w:val="0"/>
                <w:bCs w:val="0"/>
                <w:kern w:val="0"/>
                <w:sz w:val="21"/>
                <w:szCs w:val="21"/>
              </w:rPr>
              <w:t>公益性公墓</w:t>
            </w:r>
          </w:p>
        </w:tc>
        <w:tc>
          <w:tcPr>
            <w:tcW w:w="255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　公墓运营情况</w:t>
            </w:r>
          </w:p>
        </w:tc>
        <w:tc>
          <w:tcPr>
            <w:tcW w:w="501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　《辽宁省公墓管理办法》</w:t>
            </w:r>
          </w:p>
        </w:tc>
        <w:tc>
          <w:tcPr>
            <w:tcW w:w="1381"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2023年11月</w:t>
            </w:r>
          </w:p>
        </w:tc>
        <w:tc>
          <w:tcPr>
            <w:tcW w:w="140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　现场检查</w:t>
            </w:r>
          </w:p>
        </w:tc>
        <w:tc>
          <w:tcPr>
            <w:tcW w:w="1297"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8"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宋体" w:hAnsi="宋体" w:cs="宋体"/>
                <w:kern w:val="0"/>
                <w:sz w:val="15"/>
                <w:szCs w:val="15"/>
                <w:lang w:val="en-US" w:eastAsia="zh-CN"/>
              </w:rPr>
            </w:pPr>
          </w:p>
        </w:tc>
        <w:tc>
          <w:tcPr>
            <w:tcW w:w="174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lang w:eastAsia="zh-CN"/>
              </w:rPr>
              <w:t>瓦房店市民政局</w:t>
            </w:r>
          </w:p>
        </w:tc>
        <w:tc>
          <w:tcPr>
            <w:tcW w:w="1505" w:type="dxa"/>
            <w:vAlign w:val="center"/>
          </w:tcPr>
          <w:p>
            <w:pPr>
              <w:widowControl/>
              <w:spacing w:line="240" w:lineRule="auto"/>
              <w:jc w:val="both"/>
              <w:rPr>
                <w:rFonts w:hint="eastAsia" w:ascii="仿宋" w:hAnsi="仿宋" w:eastAsia="仿宋" w:cs="仿宋"/>
                <w:b w:val="0"/>
                <w:bCs w:val="0"/>
                <w:w w:val="100"/>
                <w:sz w:val="21"/>
                <w:szCs w:val="21"/>
                <w:lang w:eastAsia="zh-CN"/>
              </w:rPr>
            </w:pPr>
            <w:r>
              <w:rPr>
                <w:rFonts w:hint="eastAsia" w:ascii="仿宋" w:hAnsi="仿宋" w:eastAsia="仿宋" w:cs="仿宋"/>
                <w:b w:val="0"/>
                <w:bCs w:val="0"/>
                <w:kern w:val="0"/>
                <w:sz w:val="21"/>
                <w:szCs w:val="21"/>
                <w:lang w:eastAsia="zh-CN"/>
              </w:rPr>
              <w:t>养老机构</w:t>
            </w:r>
            <w:r>
              <w:rPr>
                <w:rFonts w:hint="eastAsia" w:ascii="仿宋" w:hAnsi="仿宋" w:eastAsia="仿宋" w:cs="仿宋"/>
                <w:b w:val="0"/>
                <w:bCs w:val="0"/>
                <w:kern w:val="0"/>
                <w:sz w:val="21"/>
                <w:szCs w:val="21"/>
              </w:rPr>
              <w:t>　</w:t>
            </w:r>
          </w:p>
        </w:tc>
        <w:tc>
          <w:tcPr>
            <w:tcW w:w="255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　</w:t>
            </w:r>
            <w:r>
              <w:rPr>
                <w:rFonts w:hint="eastAsia" w:ascii="仿宋" w:hAnsi="仿宋" w:eastAsia="仿宋" w:cs="仿宋"/>
                <w:b w:val="0"/>
                <w:bCs w:val="0"/>
                <w:kern w:val="0"/>
                <w:sz w:val="21"/>
                <w:szCs w:val="21"/>
                <w:lang w:eastAsia="zh-CN"/>
              </w:rPr>
              <w:t>养老机构安全生产</w:t>
            </w:r>
          </w:p>
        </w:tc>
        <w:tc>
          <w:tcPr>
            <w:tcW w:w="501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lang w:eastAsia="zh-CN"/>
              </w:rPr>
              <w:t>《新中华人民共和国老年人权益保障法》</w:t>
            </w:r>
            <w:r>
              <w:rPr>
                <w:rFonts w:hint="eastAsia" w:ascii="仿宋" w:hAnsi="仿宋" w:eastAsia="仿宋" w:cs="仿宋"/>
                <w:b w:val="0"/>
                <w:bCs w:val="0"/>
                <w:kern w:val="0"/>
                <w:sz w:val="21"/>
                <w:szCs w:val="21"/>
              </w:rPr>
              <w:t>　</w:t>
            </w:r>
          </w:p>
        </w:tc>
        <w:tc>
          <w:tcPr>
            <w:tcW w:w="1381" w:type="dxa"/>
            <w:vAlign w:val="center"/>
          </w:tcPr>
          <w:p>
            <w:pPr>
              <w:widowControl/>
              <w:tabs>
                <w:tab w:val="left" w:pos="630"/>
              </w:tabs>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lang w:val="en-US" w:eastAsia="zh-CN"/>
              </w:rPr>
              <w:t>2023年5月、6月</w:t>
            </w:r>
          </w:p>
        </w:tc>
        <w:tc>
          <w:tcPr>
            <w:tcW w:w="140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　</w:t>
            </w:r>
            <w:r>
              <w:rPr>
                <w:rFonts w:hint="eastAsia" w:ascii="仿宋" w:hAnsi="仿宋" w:eastAsia="仿宋" w:cs="仿宋"/>
                <w:b w:val="0"/>
                <w:bCs w:val="0"/>
                <w:kern w:val="0"/>
                <w:sz w:val="21"/>
                <w:szCs w:val="21"/>
                <w:lang w:eastAsia="zh-CN"/>
              </w:rPr>
              <w:t>现场检查</w:t>
            </w:r>
          </w:p>
        </w:tc>
        <w:tc>
          <w:tcPr>
            <w:tcW w:w="1297"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lang w:eastAsia="zh-CN"/>
              </w:rPr>
              <w:t>应急局、住建局、公安局、市场局、消防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9"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24"/>
                <w:szCs w:val="24"/>
                <w:lang w:val="en-US" w:eastAsia="zh-CN"/>
              </w:rPr>
            </w:pPr>
            <w:r>
              <w:rPr>
                <w:rFonts w:hint="eastAsia" w:ascii="宋体" w:hAnsi="宋体" w:cs="宋体"/>
                <w:kern w:val="0"/>
                <w:sz w:val="24"/>
                <w:szCs w:val="24"/>
                <w:lang w:val="en-US" w:eastAsia="zh-CN"/>
              </w:rPr>
              <w:t>7</w:t>
            </w:r>
          </w:p>
        </w:tc>
        <w:tc>
          <w:tcPr>
            <w:tcW w:w="174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瓦房店市气象局</w:t>
            </w:r>
          </w:p>
        </w:tc>
        <w:tc>
          <w:tcPr>
            <w:tcW w:w="1505" w:type="dxa"/>
            <w:vAlign w:val="center"/>
          </w:tcPr>
          <w:p>
            <w:pPr>
              <w:widowControl/>
              <w:spacing w:line="240" w:lineRule="auto"/>
              <w:jc w:val="both"/>
              <w:rPr>
                <w:rFonts w:hint="eastAsia" w:ascii="仿宋" w:hAnsi="仿宋" w:eastAsia="仿宋" w:cs="仿宋"/>
                <w:b w:val="0"/>
                <w:bCs w:val="0"/>
                <w:w w:val="100"/>
                <w:sz w:val="21"/>
                <w:szCs w:val="21"/>
                <w:lang w:eastAsia="zh-CN"/>
              </w:rPr>
            </w:pPr>
            <w:r>
              <w:rPr>
                <w:rFonts w:hint="eastAsia" w:ascii="仿宋" w:hAnsi="仿宋" w:eastAsia="仿宋" w:cs="仿宋"/>
                <w:b w:val="0"/>
                <w:bCs w:val="0"/>
                <w:kern w:val="0"/>
                <w:sz w:val="21"/>
                <w:szCs w:val="21"/>
              </w:rPr>
              <w:t>瓦房店市危化企业、油气管道</w:t>
            </w:r>
          </w:p>
        </w:tc>
        <w:tc>
          <w:tcPr>
            <w:tcW w:w="255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防雷设计审核、竣工验收和防雷装置年度安全检测</w:t>
            </w:r>
          </w:p>
        </w:tc>
        <w:tc>
          <w:tcPr>
            <w:tcW w:w="5013" w:type="dxa"/>
            <w:vAlign w:val="center"/>
          </w:tcPr>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　《防雷减灾管理办法》　第十五条 防雷装置的设计实行审核制度。县级以上地方气象主管机构负责本行政区域内的防雷装置的设计审核。符合要求的，由负责审核的气象主管机构出具核准文件；不符合要求的，负责审核的气象主管机构提出整改要求，退回申请单位修改后重新申请设计审核。未经审核或者未取得核准文件的设计方案，不得交付施工。</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《防雷减灾管理办法》　第十七条 防雷装置实行竣工验收制度。</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县级以上地方气象主管机构负责本行政区域内的防雷装置的竣工验收。</w:t>
            </w:r>
          </w:p>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　　负责验收的气象主管机构接到申请后，应当根据具有相应资质的防雷装置检测机构出具的检测报告进行核实。符合要求的，由气象主管机构出具验收文件。不符合要求的，负责验收的气象主管机构提出整改要求，申请单位整改后重新申请竣工验收。未取得验收合格文件的防雷装置，不得投入使用。</w:t>
            </w:r>
          </w:p>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《防雷减灾管理办法》　第十九条 投入使用后的防雷装置实行定期检测制度。防雷装置应当每年检测一次，对爆炸和火灾危险环境场所的防雷装置应当每半年检测一次。</w:t>
            </w:r>
          </w:p>
        </w:tc>
        <w:tc>
          <w:tcPr>
            <w:tcW w:w="1381" w:type="dxa"/>
            <w:vAlign w:val="center"/>
          </w:tcPr>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202</w:t>
            </w:r>
            <w:r>
              <w:rPr>
                <w:rFonts w:hint="eastAsia" w:ascii="仿宋" w:hAnsi="仿宋" w:eastAsia="仿宋" w:cs="仿宋"/>
                <w:b w:val="0"/>
                <w:bCs w:val="0"/>
                <w:kern w:val="0"/>
                <w:sz w:val="21"/>
                <w:szCs w:val="21"/>
                <w:lang w:val="en-US" w:eastAsia="zh-CN"/>
              </w:rPr>
              <w:t>3</w:t>
            </w:r>
            <w:r>
              <w:rPr>
                <w:rFonts w:hint="eastAsia" w:ascii="仿宋" w:hAnsi="仿宋" w:eastAsia="仿宋" w:cs="仿宋"/>
                <w:b w:val="0"/>
                <w:bCs w:val="0"/>
                <w:kern w:val="0"/>
                <w:sz w:val="21"/>
                <w:szCs w:val="21"/>
              </w:rPr>
              <w:t>年</w:t>
            </w:r>
          </w:p>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4月-1</w:t>
            </w:r>
            <w:r>
              <w:rPr>
                <w:rFonts w:hint="eastAsia" w:ascii="仿宋" w:hAnsi="仿宋" w:eastAsia="仿宋" w:cs="仿宋"/>
                <w:b w:val="0"/>
                <w:bCs w:val="0"/>
                <w:kern w:val="0"/>
                <w:sz w:val="21"/>
                <w:szCs w:val="21"/>
                <w:lang w:val="en-US" w:eastAsia="zh-CN"/>
              </w:rPr>
              <w:t>2</w:t>
            </w:r>
            <w:r>
              <w:rPr>
                <w:rFonts w:hint="eastAsia" w:ascii="仿宋" w:hAnsi="仿宋" w:eastAsia="仿宋" w:cs="仿宋"/>
                <w:b w:val="0"/>
                <w:bCs w:val="0"/>
                <w:kern w:val="0"/>
                <w:sz w:val="21"/>
                <w:szCs w:val="21"/>
              </w:rPr>
              <w:t>月</w:t>
            </w:r>
          </w:p>
        </w:tc>
        <w:tc>
          <w:tcPr>
            <w:tcW w:w="140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b w:val="0"/>
                <w:bCs w:val="0"/>
                <w:sz w:val="21"/>
                <w:szCs w:val="21"/>
              </w:rPr>
            </w:pPr>
            <w:r>
              <w:rPr>
                <w:rFonts w:hint="eastAsia" w:ascii="仿宋" w:hAnsi="仿宋" w:eastAsia="仿宋" w:cs="仿宋"/>
                <w:b w:val="0"/>
                <w:bCs w:val="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宋体" w:hAnsi="宋体" w:cs="宋体"/>
                <w:kern w:val="0"/>
                <w:sz w:val="15"/>
                <w:szCs w:val="15"/>
                <w:lang w:val="en-US" w:eastAsia="zh-CN"/>
              </w:rPr>
            </w:pPr>
          </w:p>
        </w:tc>
        <w:tc>
          <w:tcPr>
            <w:tcW w:w="174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瓦房店市气象局</w:t>
            </w:r>
          </w:p>
        </w:tc>
        <w:tc>
          <w:tcPr>
            <w:tcW w:w="1505" w:type="dxa"/>
            <w:vAlign w:val="center"/>
          </w:tcPr>
          <w:p>
            <w:pPr>
              <w:widowControl/>
              <w:spacing w:line="240" w:lineRule="auto"/>
              <w:jc w:val="both"/>
              <w:rPr>
                <w:rFonts w:hint="eastAsia" w:ascii="仿宋" w:hAnsi="仿宋" w:eastAsia="仿宋" w:cs="仿宋"/>
                <w:b w:val="0"/>
                <w:bCs w:val="0"/>
                <w:w w:val="100"/>
                <w:sz w:val="21"/>
                <w:szCs w:val="21"/>
                <w:lang w:eastAsia="zh-CN"/>
              </w:rPr>
            </w:pPr>
            <w:r>
              <w:rPr>
                <w:rFonts w:hint="eastAsia" w:ascii="仿宋" w:hAnsi="仿宋" w:eastAsia="仿宋" w:cs="仿宋"/>
                <w:b w:val="0"/>
                <w:bCs w:val="0"/>
                <w:kern w:val="0"/>
                <w:sz w:val="21"/>
                <w:szCs w:val="21"/>
              </w:rPr>
              <w:t>瓦房店市内各施放气球单位</w:t>
            </w:r>
          </w:p>
        </w:tc>
        <w:tc>
          <w:tcPr>
            <w:tcW w:w="255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施放气球资质证和施放气球活动审批</w:t>
            </w:r>
          </w:p>
        </w:tc>
        <w:tc>
          <w:tcPr>
            <w:tcW w:w="5013" w:type="dxa"/>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right="0"/>
              <w:jc w:val="both"/>
              <w:rPr>
                <w:rFonts w:hint="eastAsia" w:ascii="仿宋" w:hAnsi="仿宋" w:eastAsia="仿宋" w:cs="仿宋"/>
                <w:b w:val="0"/>
                <w:bCs w:val="0"/>
                <w:kern w:val="0"/>
                <w:sz w:val="21"/>
                <w:szCs w:val="21"/>
                <w:lang w:val="en-US" w:eastAsia="zh-CN" w:bidi="ar-SA"/>
              </w:rPr>
            </w:pPr>
            <w:r>
              <w:rPr>
                <w:rFonts w:hint="eastAsia" w:ascii="仿宋" w:hAnsi="仿宋" w:eastAsia="仿宋" w:cs="仿宋"/>
                <w:b w:val="0"/>
                <w:bCs w:val="0"/>
                <w:kern w:val="0"/>
                <w:sz w:val="21"/>
                <w:szCs w:val="21"/>
                <w:lang w:val="en-US" w:eastAsia="zh-CN" w:bidi="ar-SA"/>
              </w:rPr>
              <w:t xml:space="preserve">《升放气球管理办法》第六条 对升放气球单位实行资质认定制度。未按规定取得《升放气球资质证》的单位不得从事升放气球活动。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right="0" w:firstLine="420" w:firstLineChars="200"/>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lang w:val="en-US" w:eastAsia="zh-CN" w:bidi="ar-SA"/>
              </w:rPr>
              <w:t>第十三条 升放气球活动实行许可制度。升放气球单位升放无人驾驶自由气球至少提前五日、升放系留气球至少提前两日向升放所在地的县级以上地方气象主管机构提出申请，并按要求如实填写升放气球作业申报表。</w:t>
            </w:r>
          </w:p>
        </w:tc>
        <w:tc>
          <w:tcPr>
            <w:tcW w:w="1381" w:type="dxa"/>
            <w:vAlign w:val="center"/>
          </w:tcPr>
          <w:p>
            <w:pPr>
              <w:widowControl/>
              <w:spacing w:line="240" w:lineRule="auto"/>
              <w:jc w:val="both"/>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rPr>
              <w:t>四个重</w:t>
            </w:r>
          </w:p>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大节日</w:t>
            </w:r>
          </w:p>
        </w:tc>
        <w:tc>
          <w:tcPr>
            <w:tcW w:w="140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b w:val="0"/>
                <w:bCs w:val="0"/>
                <w:sz w:val="21"/>
                <w:szCs w:val="21"/>
              </w:rPr>
            </w:pPr>
            <w:r>
              <w:rPr>
                <w:rFonts w:hint="eastAsia" w:ascii="仿宋" w:hAnsi="仿宋" w:eastAsia="仿宋" w:cs="仿宋"/>
                <w:b w:val="0"/>
                <w:bCs w:val="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9"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15"/>
                <w:szCs w:val="15"/>
                <w:lang w:val="en-US" w:eastAsia="zh-CN"/>
              </w:rPr>
            </w:pPr>
            <w:r>
              <w:rPr>
                <w:rFonts w:hint="eastAsia" w:ascii="宋体" w:hAnsi="宋体" w:cs="宋体"/>
                <w:kern w:val="0"/>
                <w:sz w:val="24"/>
                <w:szCs w:val="24"/>
                <w:lang w:val="en-US" w:eastAsia="zh-CN"/>
              </w:rPr>
              <w:t>8</w:t>
            </w:r>
          </w:p>
        </w:tc>
        <w:tc>
          <w:tcPr>
            <w:tcW w:w="174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瓦房店市劳动保障监察行政执法队</w:t>
            </w:r>
          </w:p>
        </w:tc>
        <w:tc>
          <w:tcPr>
            <w:tcW w:w="1505" w:type="dxa"/>
            <w:vAlign w:val="center"/>
          </w:tcPr>
          <w:p>
            <w:pPr>
              <w:widowControl/>
              <w:spacing w:line="240" w:lineRule="auto"/>
              <w:jc w:val="both"/>
              <w:rPr>
                <w:rFonts w:hint="eastAsia" w:ascii="仿宋" w:hAnsi="仿宋" w:eastAsia="仿宋" w:cs="仿宋"/>
                <w:b w:val="0"/>
                <w:bCs w:val="0"/>
                <w:w w:val="100"/>
                <w:sz w:val="21"/>
                <w:szCs w:val="21"/>
                <w:lang w:eastAsia="zh-CN"/>
              </w:rPr>
            </w:pPr>
            <w:r>
              <w:rPr>
                <w:rFonts w:hint="eastAsia" w:ascii="仿宋" w:hAnsi="仿宋" w:eastAsia="仿宋" w:cs="仿宋"/>
                <w:b w:val="0"/>
                <w:bCs w:val="0"/>
                <w:kern w:val="0"/>
                <w:sz w:val="21"/>
                <w:szCs w:val="21"/>
              </w:rPr>
              <w:t>各类建筑施工项目建设、施工企业</w:t>
            </w:r>
          </w:p>
        </w:tc>
        <w:tc>
          <w:tcPr>
            <w:tcW w:w="255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保障农民工工资支付情况</w:t>
            </w:r>
          </w:p>
        </w:tc>
        <w:tc>
          <w:tcPr>
            <w:tcW w:w="501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《保障农民工工资支付条例》</w:t>
            </w:r>
          </w:p>
        </w:tc>
        <w:tc>
          <w:tcPr>
            <w:tcW w:w="1381" w:type="dxa"/>
            <w:vAlign w:val="center"/>
          </w:tcPr>
          <w:p>
            <w:pPr>
              <w:widowControl/>
              <w:spacing w:line="240" w:lineRule="auto"/>
              <w:jc w:val="both"/>
              <w:rPr>
                <w:rFonts w:hint="eastAsia" w:ascii="仿宋" w:hAnsi="仿宋" w:eastAsia="仿宋" w:cs="仿宋"/>
                <w:b w:val="0"/>
                <w:bCs w:val="0"/>
                <w:sz w:val="21"/>
                <w:szCs w:val="21"/>
                <w:lang w:eastAsia="zh-CN"/>
              </w:rPr>
            </w:pPr>
            <w:r>
              <w:rPr>
                <w:rFonts w:hint="eastAsia" w:ascii="仿宋" w:hAnsi="仿宋" w:eastAsia="仿宋" w:cs="仿宋"/>
                <w:b w:val="0"/>
                <w:bCs w:val="0"/>
                <w:kern w:val="0"/>
                <w:sz w:val="21"/>
                <w:szCs w:val="21"/>
                <w:lang w:val="en-US" w:eastAsia="zh-CN"/>
              </w:rPr>
              <w:t>2023年</w:t>
            </w:r>
            <w:r>
              <w:rPr>
                <w:rFonts w:hint="eastAsia" w:ascii="仿宋" w:hAnsi="仿宋" w:eastAsia="仿宋" w:cs="仿宋"/>
                <w:b w:val="0"/>
                <w:bCs w:val="0"/>
                <w:kern w:val="0"/>
                <w:sz w:val="21"/>
                <w:szCs w:val="21"/>
                <w:lang w:eastAsia="zh-CN"/>
              </w:rPr>
              <w:t>全年</w:t>
            </w:r>
          </w:p>
        </w:tc>
        <w:tc>
          <w:tcPr>
            <w:tcW w:w="140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现场调阅审查</w:t>
            </w:r>
          </w:p>
        </w:tc>
        <w:tc>
          <w:tcPr>
            <w:tcW w:w="1297"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住建局、交通局、水务局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6"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宋体" w:hAnsi="宋体" w:cs="宋体"/>
                <w:kern w:val="0"/>
                <w:sz w:val="15"/>
                <w:szCs w:val="15"/>
                <w:lang w:val="en-US" w:eastAsia="zh-CN"/>
              </w:rPr>
            </w:pPr>
          </w:p>
        </w:tc>
        <w:tc>
          <w:tcPr>
            <w:tcW w:w="174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瓦房店市劳动保障监察行政执法队</w:t>
            </w:r>
          </w:p>
        </w:tc>
        <w:tc>
          <w:tcPr>
            <w:tcW w:w="1505" w:type="dxa"/>
            <w:vAlign w:val="center"/>
          </w:tcPr>
          <w:p>
            <w:pPr>
              <w:widowControl/>
              <w:spacing w:line="240" w:lineRule="auto"/>
              <w:jc w:val="both"/>
              <w:rPr>
                <w:rFonts w:hint="eastAsia" w:ascii="仿宋" w:hAnsi="仿宋" w:eastAsia="仿宋" w:cs="仿宋"/>
                <w:b w:val="0"/>
                <w:bCs w:val="0"/>
                <w:w w:val="100"/>
                <w:sz w:val="21"/>
                <w:szCs w:val="21"/>
                <w:lang w:eastAsia="zh-CN"/>
              </w:rPr>
            </w:pPr>
            <w:r>
              <w:rPr>
                <w:rFonts w:hint="eastAsia" w:ascii="仿宋" w:hAnsi="仿宋" w:eastAsia="仿宋" w:cs="仿宋"/>
                <w:b w:val="0"/>
                <w:bCs w:val="0"/>
                <w:kern w:val="0"/>
                <w:sz w:val="21"/>
                <w:szCs w:val="21"/>
              </w:rPr>
              <w:t>劳务派遣单位</w:t>
            </w:r>
          </w:p>
        </w:tc>
        <w:tc>
          <w:tcPr>
            <w:tcW w:w="255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遵守劳务派遣规定情况</w:t>
            </w:r>
          </w:p>
        </w:tc>
        <w:tc>
          <w:tcPr>
            <w:tcW w:w="501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《劳动合同法》第五章第二节</w:t>
            </w:r>
          </w:p>
        </w:tc>
        <w:tc>
          <w:tcPr>
            <w:tcW w:w="1381"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lang w:val="en-US" w:eastAsia="zh-CN"/>
              </w:rPr>
              <w:t>2023年</w:t>
            </w:r>
            <w:r>
              <w:rPr>
                <w:rFonts w:hint="eastAsia" w:ascii="仿宋" w:hAnsi="仿宋" w:eastAsia="仿宋" w:cs="仿宋"/>
                <w:b w:val="0"/>
                <w:bCs w:val="0"/>
                <w:kern w:val="0"/>
                <w:sz w:val="21"/>
                <w:szCs w:val="21"/>
              </w:rPr>
              <w:t>7月—9月</w:t>
            </w:r>
          </w:p>
        </w:tc>
        <w:tc>
          <w:tcPr>
            <w:tcW w:w="140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现场调阅审查</w:t>
            </w:r>
          </w:p>
        </w:tc>
        <w:tc>
          <w:tcPr>
            <w:tcW w:w="1297" w:type="dxa"/>
            <w:vAlign w:val="center"/>
          </w:tcPr>
          <w:p>
            <w:pPr>
              <w:widowControl/>
              <w:spacing w:line="240" w:lineRule="auto"/>
              <w:jc w:val="both"/>
              <w:rPr>
                <w:rFonts w:hint="eastAsia" w:ascii="仿宋" w:hAnsi="仿宋" w:eastAsia="仿宋" w:cs="仿宋"/>
                <w:b w:val="0"/>
                <w:bCs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1"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宋体" w:hAnsi="宋体" w:cs="宋体"/>
                <w:kern w:val="0"/>
                <w:sz w:val="15"/>
                <w:szCs w:val="15"/>
                <w:lang w:val="en-US" w:eastAsia="zh-CN"/>
              </w:rPr>
            </w:pPr>
          </w:p>
        </w:tc>
        <w:tc>
          <w:tcPr>
            <w:tcW w:w="174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瓦房店市劳动保障监察行政执法队</w:t>
            </w:r>
          </w:p>
        </w:tc>
        <w:tc>
          <w:tcPr>
            <w:tcW w:w="1505" w:type="dxa"/>
            <w:vAlign w:val="center"/>
          </w:tcPr>
          <w:p>
            <w:pPr>
              <w:widowControl/>
              <w:spacing w:line="240" w:lineRule="auto"/>
              <w:jc w:val="both"/>
              <w:rPr>
                <w:rFonts w:hint="eastAsia" w:ascii="仿宋" w:hAnsi="仿宋" w:eastAsia="仿宋" w:cs="仿宋"/>
                <w:b w:val="0"/>
                <w:bCs w:val="0"/>
                <w:w w:val="100"/>
                <w:sz w:val="21"/>
                <w:szCs w:val="21"/>
                <w:lang w:eastAsia="zh-CN"/>
              </w:rPr>
            </w:pPr>
            <w:r>
              <w:rPr>
                <w:rFonts w:hint="eastAsia" w:ascii="仿宋" w:hAnsi="仿宋" w:eastAsia="仿宋" w:cs="仿宋"/>
                <w:b w:val="0"/>
                <w:bCs w:val="0"/>
                <w:kern w:val="0"/>
                <w:sz w:val="21"/>
                <w:szCs w:val="21"/>
              </w:rPr>
              <w:t>就业服务机构、职业介绍机构</w:t>
            </w:r>
          </w:p>
        </w:tc>
        <w:tc>
          <w:tcPr>
            <w:tcW w:w="255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遵守就业服务和就业管理规定情况</w:t>
            </w:r>
          </w:p>
        </w:tc>
        <w:tc>
          <w:tcPr>
            <w:tcW w:w="5013"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《就业服务和就业管理规定》</w:t>
            </w:r>
          </w:p>
        </w:tc>
        <w:tc>
          <w:tcPr>
            <w:tcW w:w="1381"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lang w:val="en-US" w:eastAsia="zh-CN"/>
              </w:rPr>
              <w:t>2023年</w:t>
            </w:r>
            <w:r>
              <w:rPr>
                <w:rFonts w:hint="eastAsia" w:ascii="仿宋" w:hAnsi="仿宋" w:eastAsia="仿宋" w:cs="仿宋"/>
                <w:b w:val="0"/>
                <w:bCs w:val="0"/>
                <w:kern w:val="0"/>
                <w:sz w:val="21"/>
                <w:szCs w:val="21"/>
              </w:rPr>
              <w:t>4月—6月</w:t>
            </w:r>
          </w:p>
        </w:tc>
        <w:tc>
          <w:tcPr>
            <w:tcW w:w="1400" w:type="dxa"/>
            <w:vAlign w:val="center"/>
          </w:tcPr>
          <w:p>
            <w:pPr>
              <w:widowControl/>
              <w:spacing w:line="240" w:lineRule="auto"/>
              <w:jc w:val="both"/>
              <w:rPr>
                <w:rFonts w:hint="eastAsia" w:ascii="仿宋" w:hAnsi="仿宋" w:eastAsia="仿宋" w:cs="仿宋"/>
                <w:b w:val="0"/>
                <w:bCs w:val="0"/>
                <w:sz w:val="21"/>
                <w:szCs w:val="21"/>
              </w:rPr>
            </w:pPr>
            <w:r>
              <w:rPr>
                <w:rFonts w:hint="eastAsia" w:ascii="仿宋" w:hAnsi="仿宋" w:eastAsia="仿宋" w:cs="仿宋"/>
                <w:b w:val="0"/>
                <w:bCs w:val="0"/>
                <w:kern w:val="0"/>
                <w:sz w:val="21"/>
                <w:szCs w:val="21"/>
              </w:rPr>
              <w:t>现场调阅审查</w:t>
            </w:r>
          </w:p>
        </w:tc>
        <w:tc>
          <w:tcPr>
            <w:tcW w:w="1297" w:type="dxa"/>
            <w:vAlign w:val="center"/>
          </w:tcPr>
          <w:p>
            <w:pPr>
              <w:widowControl/>
              <w:spacing w:line="240" w:lineRule="auto"/>
              <w:jc w:val="both"/>
              <w:rPr>
                <w:rFonts w:hint="eastAsia" w:ascii="仿宋" w:hAnsi="仿宋" w:eastAsia="仿宋" w:cs="仿宋"/>
                <w:b w:val="0"/>
                <w:bCs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5"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24"/>
                <w:szCs w:val="24"/>
                <w:lang w:val="en-US" w:eastAsia="zh-CN"/>
              </w:rPr>
            </w:pPr>
            <w:r>
              <w:rPr>
                <w:rFonts w:hint="eastAsia" w:ascii="宋体" w:hAnsi="宋体" w:cs="宋体"/>
                <w:kern w:val="0"/>
                <w:sz w:val="24"/>
                <w:szCs w:val="24"/>
                <w:lang w:val="en-US" w:eastAsia="zh-CN"/>
              </w:rPr>
              <w:t>9</w:t>
            </w:r>
          </w:p>
        </w:tc>
        <w:tc>
          <w:tcPr>
            <w:tcW w:w="1743"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瓦房店市海洋发展局</w:t>
            </w:r>
          </w:p>
        </w:tc>
        <w:tc>
          <w:tcPr>
            <w:tcW w:w="1505" w:type="dxa"/>
            <w:vAlign w:val="center"/>
          </w:tcPr>
          <w:p>
            <w:pPr>
              <w:widowControl/>
              <w:spacing w:line="240" w:lineRule="auto"/>
              <w:jc w:val="both"/>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大连沙山水产繁殖有限公司</w:t>
            </w:r>
          </w:p>
        </w:tc>
        <w:tc>
          <w:tcPr>
            <w:tcW w:w="2550"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水产苗种生产</w:t>
            </w:r>
          </w:p>
        </w:tc>
        <w:tc>
          <w:tcPr>
            <w:tcW w:w="5013"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《辽宁省水产苗种管理条例》第二十一条 水产苗种执法人员查处水产苗种生产、经营违法行为时，有权查阅、复制相关生产经营记录、检验结果等资料，现场检查水产苗种生产、经营场所，调查询问当事人有关水产苗种生产经营情况。</w:t>
            </w:r>
          </w:p>
        </w:tc>
        <w:tc>
          <w:tcPr>
            <w:tcW w:w="1381"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2023年1季度</w:t>
            </w:r>
          </w:p>
        </w:tc>
        <w:tc>
          <w:tcPr>
            <w:tcW w:w="1400"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调阅审查</w:t>
            </w:r>
          </w:p>
        </w:tc>
        <w:tc>
          <w:tcPr>
            <w:tcW w:w="1297" w:type="dxa"/>
            <w:vAlign w:val="center"/>
          </w:tcPr>
          <w:p>
            <w:pPr>
              <w:widowControl/>
              <w:spacing w:line="240" w:lineRule="auto"/>
              <w:jc w:val="both"/>
              <w:rPr>
                <w:rFonts w:hint="eastAsia" w:ascii="仿宋" w:hAnsi="仿宋" w:eastAsia="仿宋"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5"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宋体" w:hAnsi="宋体" w:cs="宋体"/>
                <w:kern w:val="0"/>
                <w:sz w:val="24"/>
                <w:szCs w:val="24"/>
                <w:lang w:val="en-US" w:eastAsia="zh-CN"/>
              </w:rPr>
            </w:pPr>
          </w:p>
        </w:tc>
        <w:tc>
          <w:tcPr>
            <w:tcW w:w="1743"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瓦房店市海洋发展局</w:t>
            </w:r>
          </w:p>
        </w:tc>
        <w:tc>
          <w:tcPr>
            <w:tcW w:w="1505" w:type="dxa"/>
            <w:vAlign w:val="center"/>
          </w:tcPr>
          <w:p>
            <w:pPr>
              <w:widowControl/>
              <w:spacing w:line="240" w:lineRule="auto"/>
              <w:jc w:val="both"/>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银海马水产养殖（大连）有限公司</w:t>
            </w:r>
          </w:p>
        </w:tc>
        <w:tc>
          <w:tcPr>
            <w:tcW w:w="2550"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水产苗种生产</w:t>
            </w:r>
          </w:p>
        </w:tc>
        <w:tc>
          <w:tcPr>
            <w:tcW w:w="5013"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《辽宁省水产苗种管理条例》第二十一条 水产苗种执法人员查处水产苗种生产、经营违法行为时，有权查阅、复制相关生产经营记录、检验结果等资料，现场检查水产苗种生产、经营场所，调查询问当事人有关水产苗种生产经营情况。</w:t>
            </w:r>
          </w:p>
        </w:tc>
        <w:tc>
          <w:tcPr>
            <w:tcW w:w="1381"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2023年1季度</w:t>
            </w:r>
          </w:p>
        </w:tc>
        <w:tc>
          <w:tcPr>
            <w:tcW w:w="1400" w:type="dxa"/>
            <w:vAlign w:val="center"/>
          </w:tcPr>
          <w:p>
            <w:pPr>
              <w:widowControl/>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调阅审查</w:t>
            </w:r>
          </w:p>
        </w:tc>
        <w:tc>
          <w:tcPr>
            <w:tcW w:w="1297" w:type="dxa"/>
            <w:vAlign w:val="center"/>
          </w:tcPr>
          <w:p>
            <w:pPr>
              <w:widowControl/>
              <w:spacing w:line="240" w:lineRule="auto"/>
              <w:jc w:val="both"/>
              <w:rPr>
                <w:rFonts w:hint="eastAsia" w:ascii="仿宋" w:hAnsi="仿宋" w:eastAsia="仿宋"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8"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24"/>
                <w:szCs w:val="24"/>
                <w:lang w:val="en-US" w:eastAsia="zh-CN"/>
              </w:rPr>
            </w:pPr>
            <w:r>
              <w:rPr>
                <w:rFonts w:hint="eastAsia" w:ascii="宋体" w:hAnsi="宋体" w:cs="宋体"/>
                <w:kern w:val="0"/>
                <w:sz w:val="24"/>
                <w:szCs w:val="24"/>
                <w:lang w:val="en-US" w:eastAsia="zh-CN"/>
              </w:rPr>
              <w:t>10</w:t>
            </w:r>
          </w:p>
        </w:tc>
        <w:tc>
          <w:tcPr>
            <w:tcW w:w="1743"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瓦房店市应急管理局</w:t>
            </w:r>
          </w:p>
        </w:tc>
        <w:tc>
          <w:tcPr>
            <w:tcW w:w="1505"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1.规上工业企业</w:t>
            </w:r>
          </w:p>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2.危险化学品生产经营企业</w:t>
            </w:r>
          </w:p>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3.烟花爆竹批发经营</w:t>
            </w:r>
          </w:p>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4.非煤矿山</w:t>
            </w:r>
          </w:p>
        </w:tc>
        <w:tc>
          <w:tcPr>
            <w:tcW w:w="2550"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教育培训：（1）年度工作计划中未包含安全教育培训内容。（2）未按要求提取教育培训经费和安全培训的经费。（3）非煤矿山、危险化学品、烟花爆竹、金属冶炼、有限空间作业等生产经营单位主要负责人和安全生产管理人员未在任职6个月内通过安全生产监督管理部门组织的考核，并取得相关证件。（4）未对新入职从业人员进行岗前培训；岗前培训安排的学时不足；非煤矿山、危险化学品、烟花爆竹、金属冶炼等生产经营单位每年未对从业人员开展再培训或再培训学时不足。（5）加工、制造业等生产单位的其他从业人员（不包含主要负责人和安全生产管理人员和特种作业员）上岗前未进行三级安全培训教育和三级安全培训教育内容不符合规定。</w:t>
            </w:r>
          </w:p>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隐患排查：（1）未建立事故隐患排查治理制度。（2）未排查本单位的事故隐患，对排查出的事故隐患，按等级进行登记，建立事故隐患信息档案，并按照职责分工实施监控治理。（3）未制定重大事故隐患治理方案。</w:t>
            </w:r>
          </w:p>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应急预案：（1）未按照规定编制应急预案。（2）未按照规定组织应急预案演练的。（3）未开展风险辨识、评估和应急资源调查。（4）未将风险因素告知周边单位和人员。（5）应急预案超过3年未进行评估；未按照有关规定对应急预案进行修订。</w:t>
            </w:r>
          </w:p>
        </w:tc>
        <w:tc>
          <w:tcPr>
            <w:tcW w:w="5013"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1、《中华人民共和国安全生产法》</w:t>
            </w:r>
          </w:p>
          <w:p>
            <w:pPr>
              <w:widowControl/>
              <w:spacing w:line="240" w:lineRule="auto"/>
              <w:jc w:val="both"/>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2、《生产经营单位安全培训规定》</w:t>
            </w:r>
          </w:p>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3、《安全生产事故隐患排查治理暂行规定》</w:t>
            </w:r>
          </w:p>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4、《生产安全事故应急预案管理办法》</w:t>
            </w:r>
          </w:p>
          <w:p>
            <w:pPr>
              <w:widowControl/>
              <w:spacing w:line="240" w:lineRule="auto"/>
              <w:jc w:val="both"/>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5、《危险化学品管理条例》</w:t>
            </w:r>
          </w:p>
          <w:p>
            <w:pPr>
              <w:widowControl/>
              <w:spacing w:line="240" w:lineRule="auto"/>
              <w:jc w:val="both"/>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6、《有限空间管理规定》</w:t>
            </w:r>
          </w:p>
          <w:p>
            <w:pPr>
              <w:widowControl/>
              <w:spacing w:line="240" w:lineRule="auto"/>
              <w:jc w:val="both"/>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7、其他相关法律法规</w:t>
            </w:r>
          </w:p>
          <w:p>
            <w:pPr>
              <w:widowControl/>
              <w:spacing w:line="240" w:lineRule="auto"/>
              <w:jc w:val="both"/>
              <w:rPr>
                <w:rFonts w:hint="eastAsia" w:ascii="仿宋" w:hAnsi="仿宋" w:eastAsia="仿宋" w:cs="仿宋"/>
                <w:kern w:val="0"/>
                <w:sz w:val="21"/>
                <w:szCs w:val="21"/>
                <w:lang w:val="en-US" w:eastAsia="zh-CN"/>
              </w:rPr>
            </w:pPr>
          </w:p>
        </w:tc>
        <w:tc>
          <w:tcPr>
            <w:tcW w:w="1381"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2023年全年</w:t>
            </w:r>
          </w:p>
        </w:tc>
        <w:tc>
          <w:tcPr>
            <w:tcW w:w="1400"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现场检查、查阅资料等</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24"/>
                <w:szCs w:val="24"/>
                <w:lang w:val="en-US" w:eastAsia="zh-CN"/>
              </w:rPr>
            </w:pPr>
            <w:r>
              <w:rPr>
                <w:rFonts w:hint="eastAsia" w:ascii="宋体" w:hAnsi="宋体" w:cs="宋体"/>
                <w:kern w:val="0"/>
                <w:sz w:val="24"/>
                <w:szCs w:val="24"/>
                <w:lang w:val="en-US" w:eastAsia="zh-CN"/>
              </w:rPr>
              <w:t>11</w:t>
            </w:r>
          </w:p>
        </w:tc>
        <w:tc>
          <w:tcPr>
            <w:tcW w:w="1743"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瓦房店市住建局</w:t>
            </w:r>
          </w:p>
        </w:tc>
        <w:tc>
          <w:tcPr>
            <w:tcW w:w="1505" w:type="dxa"/>
            <w:vAlign w:val="center"/>
          </w:tcPr>
          <w:p>
            <w:pPr>
              <w:widowControl/>
              <w:spacing w:line="240" w:lineRule="auto"/>
              <w:ind w:firstLine="210" w:firstLineChars="100"/>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各供暖企业</w:t>
            </w:r>
          </w:p>
        </w:tc>
        <w:tc>
          <w:tcPr>
            <w:tcW w:w="2550"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供暖运行情况</w:t>
            </w:r>
          </w:p>
        </w:tc>
        <w:tc>
          <w:tcPr>
            <w:tcW w:w="5013" w:type="dxa"/>
            <w:vAlign w:val="center"/>
          </w:tcPr>
          <w:p>
            <w:pPr>
              <w:widowControl/>
              <w:spacing w:line="240" w:lineRule="auto"/>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大连市供热用热条例</w:t>
            </w:r>
          </w:p>
        </w:tc>
        <w:tc>
          <w:tcPr>
            <w:tcW w:w="1381"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2023年11月</w:t>
            </w:r>
          </w:p>
        </w:tc>
        <w:tc>
          <w:tcPr>
            <w:tcW w:w="1400"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随机检查</w:t>
            </w:r>
          </w:p>
        </w:tc>
        <w:tc>
          <w:tcPr>
            <w:tcW w:w="1297"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宋体" w:hAnsi="宋体" w:cs="宋体"/>
                <w:kern w:val="0"/>
                <w:sz w:val="24"/>
                <w:szCs w:val="24"/>
                <w:lang w:val="en-US" w:eastAsia="zh-CN"/>
              </w:rPr>
            </w:pPr>
          </w:p>
        </w:tc>
        <w:tc>
          <w:tcPr>
            <w:tcW w:w="1743"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瓦房店市住建局</w:t>
            </w:r>
          </w:p>
        </w:tc>
        <w:tc>
          <w:tcPr>
            <w:tcW w:w="1505"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燃气企业</w:t>
            </w:r>
          </w:p>
        </w:tc>
        <w:tc>
          <w:tcPr>
            <w:tcW w:w="2550"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燃气安全保供</w:t>
            </w:r>
          </w:p>
        </w:tc>
        <w:tc>
          <w:tcPr>
            <w:tcW w:w="5013" w:type="dxa"/>
            <w:vAlign w:val="center"/>
          </w:tcPr>
          <w:p>
            <w:pPr>
              <w:widowControl/>
              <w:spacing w:line="240" w:lineRule="auto"/>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城镇燃气管理条例</w:t>
            </w:r>
          </w:p>
        </w:tc>
        <w:tc>
          <w:tcPr>
            <w:tcW w:w="1381"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2023年6月</w:t>
            </w:r>
          </w:p>
        </w:tc>
        <w:tc>
          <w:tcPr>
            <w:tcW w:w="1400"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随机检查</w:t>
            </w:r>
          </w:p>
        </w:tc>
        <w:tc>
          <w:tcPr>
            <w:tcW w:w="1297" w:type="dxa"/>
            <w:vAlign w:val="center"/>
          </w:tcPr>
          <w:p>
            <w:pPr>
              <w:widowControl/>
              <w:spacing w:line="240" w:lineRule="auto"/>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24"/>
                <w:szCs w:val="24"/>
                <w:lang w:val="en-US" w:eastAsia="zh-CN"/>
              </w:rPr>
            </w:pPr>
            <w:r>
              <w:rPr>
                <w:rFonts w:hint="eastAsia" w:ascii="宋体" w:hAnsi="宋体" w:cs="宋体"/>
                <w:kern w:val="0"/>
                <w:sz w:val="24"/>
                <w:szCs w:val="24"/>
                <w:lang w:val="en-US" w:eastAsia="zh-CN"/>
              </w:rPr>
              <w:t>12</w:t>
            </w:r>
          </w:p>
        </w:tc>
        <w:tc>
          <w:tcPr>
            <w:tcW w:w="1743" w:type="dxa"/>
            <w:vAlign w:val="center"/>
          </w:tcPr>
          <w:p>
            <w:pPr>
              <w:widowControl/>
              <w:spacing w:line="240" w:lineRule="auto"/>
              <w:jc w:val="both"/>
              <w:rPr>
                <w:rFonts w:hint="eastAsia" w:ascii="宋体" w:hAnsi="宋体" w:eastAsia="宋体" w:cs="宋体"/>
                <w:sz w:val="21"/>
                <w:szCs w:val="21"/>
              </w:rPr>
            </w:pPr>
            <w:r>
              <w:rPr>
                <w:rFonts w:hint="eastAsia" w:ascii="仿宋" w:hAnsi="仿宋" w:eastAsia="仿宋" w:cs="仿宋"/>
                <w:color w:val="auto"/>
                <w:sz w:val="21"/>
                <w:szCs w:val="21"/>
                <w:lang w:val="en-US" w:eastAsia="zh-CN"/>
              </w:rPr>
              <w:t>瓦房店市自然资源局</w:t>
            </w:r>
          </w:p>
        </w:tc>
        <w:tc>
          <w:tcPr>
            <w:tcW w:w="1505" w:type="dxa"/>
            <w:vAlign w:val="center"/>
          </w:tcPr>
          <w:p>
            <w:pPr>
              <w:widowControl/>
              <w:spacing w:line="240" w:lineRule="auto"/>
              <w:jc w:val="both"/>
              <w:rPr>
                <w:rFonts w:hint="eastAsia" w:ascii="宋体" w:hAnsi="宋体" w:eastAsia="宋体" w:cs="宋体"/>
                <w:b w:val="0"/>
                <w:w w:val="100"/>
                <w:sz w:val="21"/>
                <w:szCs w:val="21"/>
                <w:lang w:eastAsia="zh-CN"/>
              </w:rPr>
            </w:pPr>
            <w:r>
              <w:rPr>
                <w:rFonts w:hint="eastAsia" w:ascii="仿宋" w:hAnsi="仿宋" w:eastAsia="仿宋" w:cs="仿宋"/>
                <w:color w:val="auto"/>
                <w:sz w:val="21"/>
                <w:szCs w:val="21"/>
              </w:rPr>
              <w:t>对用地企业遵守国土资源管理法律法规情况进行检查</w:t>
            </w:r>
          </w:p>
        </w:tc>
        <w:tc>
          <w:tcPr>
            <w:tcW w:w="2550"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sz w:val="21"/>
                <w:szCs w:val="21"/>
              </w:rPr>
              <w:t>对非法占地、占林行为处罚对象履行处罚决定义务情况进行检查</w:t>
            </w:r>
          </w:p>
        </w:tc>
        <w:tc>
          <w:tcPr>
            <w:tcW w:w="5013"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sz w:val="21"/>
                <w:szCs w:val="21"/>
              </w:rPr>
              <w:t>《中华人民共和国土地管理法》第七十七条　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r>
              <w:rPr>
                <w:rFonts w:hint="eastAsia" w:ascii="仿宋" w:hAnsi="仿宋" w:eastAsia="仿宋" w:cs="仿宋"/>
                <w:color w:val="auto"/>
                <w:sz w:val="21"/>
                <w:szCs w:val="21"/>
                <w:shd w:val="clear" w:color="auto" w:fill="FFFFFF"/>
              </w:rPr>
              <w:t>《中华人民共和国森林法实施条例》</w:t>
            </w:r>
            <w:r>
              <w:rPr>
                <w:rFonts w:hint="eastAsia" w:ascii="仿宋" w:hAnsi="仿宋" w:eastAsia="仿宋" w:cs="仿宋"/>
                <w:bCs/>
                <w:color w:val="auto"/>
                <w:sz w:val="21"/>
                <w:szCs w:val="21"/>
                <w:shd w:val="clear" w:color="auto" w:fill="FFFFFF"/>
              </w:rPr>
              <w:t xml:space="preserve">第四十三条 </w:t>
            </w:r>
            <w:r>
              <w:rPr>
                <w:rFonts w:hint="eastAsia" w:ascii="仿宋" w:hAnsi="仿宋" w:eastAsia="仿宋" w:cs="仿宋"/>
                <w:color w:val="auto"/>
                <w:sz w:val="21"/>
                <w:szCs w:val="21"/>
                <w:shd w:val="clear" w:color="auto" w:fill="FFFFFF"/>
              </w:rPr>
              <w:t>未经县级以上人民政府林业主管部门审核同意，擅自改变林地用途的，由县级以上人民政府林业主管部门责令限期恢复原状，并处非法改变用途林地每平方米10元至30元的罚款。</w:t>
            </w:r>
          </w:p>
        </w:tc>
        <w:tc>
          <w:tcPr>
            <w:tcW w:w="1381" w:type="dxa"/>
            <w:vAlign w:val="center"/>
          </w:tcPr>
          <w:p>
            <w:pPr>
              <w:spacing w:line="240" w:lineRule="auto"/>
              <w:jc w:val="both"/>
              <w:rPr>
                <w:rFonts w:hint="eastAsia" w:ascii="宋体" w:hAnsi="宋体" w:eastAsia="仿宋" w:cs="宋体"/>
                <w:sz w:val="21"/>
                <w:szCs w:val="21"/>
                <w:lang w:eastAsia="zh-CN"/>
              </w:rPr>
            </w:pPr>
            <w:r>
              <w:rPr>
                <w:rFonts w:hint="eastAsia" w:ascii="仿宋" w:hAnsi="仿宋" w:eastAsia="仿宋" w:cs="仿宋"/>
                <w:color w:val="auto"/>
                <w:sz w:val="21"/>
                <w:szCs w:val="21"/>
              </w:rPr>
              <w:t>202</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年</w:t>
            </w:r>
            <w:r>
              <w:rPr>
                <w:rFonts w:hint="eastAsia" w:ascii="仿宋" w:hAnsi="仿宋" w:eastAsia="仿宋" w:cs="仿宋"/>
                <w:color w:val="auto"/>
                <w:sz w:val="21"/>
                <w:szCs w:val="21"/>
                <w:lang w:eastAsia="zh-CN"/>
              </w:rPr>
              <w:t>全年</w:t>
            </w:r>
          </w:p>
        </w:tc>
        <w:tc>
          <w:tcPr>
            <w:tcW w:w="1400"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kern w:val="0"/>
                <w:sz w:val="21"/>
                <w:szCs w:val="21"/>
              </w:rPr>
              <w:t>现场调阅审查</w:t>
            </w:r>
          </w:p>
        </w:tc>
        <w:tc>
          <w:tcPr>
            <w:tcW w:w="1297"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宋体" w:hAnsi="宋体" w:cs="宋体"/>
                <w:kern w:val="0"/>
                <w:sz w:val="21"/>
                <w:szCs w:val="21"/>
                <w:lang w:val="en-US" w:eastAsia="zh-CN"/>
              </w:rPr>
            </w:pPr>
          </w:p>
        </w:tc>
        <w:tc>
          <w:tcPr>
            <w:tcW w:w="1743" w:type="dxa"/>
            <w:vAlign w:val="center"/>
          </w:tcPr>
          <w:p>
            <w:pPr>
              <w:widowControl/>
              <w:spacing w:line="240" w:lineRule="auto"/>
              <w:jc w:val="both"/>
              <w:rPr>
                <w:rFonts w:hint="eastAsia" w:ascii="宋体" w:hAnsi="宋体" w:eastAsia="宋体" w:cs="宋体"/>
                <w:sz w:val="21"/>
                <w:szCs w:val="21"/>
              </w:rPr>
            </w:pPr>
            <w:r>
              <w:rPr>
                <w:rFonts w:hint="eastAsia" w:ascii="仿宋" w:hAnsi="仿宋" w:eastAsia="仿宋" w:cs="仿宋"/>
                <w:color w:val="auto"/>
                <w:sz w:val="21"/>
                <w:szCs w:val="21"/>
                <w:lang w:val="en-US" w:eastAsia="zh-CN"/>
              </w:rPr>
              <w:t>瓦房店市自然资源局</w:t>
            </w:r>
          </w:p>
        </w:tc>
        <w:tc>
          <w:tcPr>
            <w:tcW w:w="1505" w:type="dxa"/>
            <w:vAlign w:val="center"/>
          </w:tcPr>
          <w:p>
            <w:pPr>
              <w:widowControl/>
              <w:spacing w:line="240" w:lineRule="auto"/>
              <w:jc w:val="both"/>
              <w:rPr>
                <w:rFonts w:hint="eastAsia" w:ascii="宋体" w:hAnsi="宋体" w:eastAsia="宋体" w:cs="宋体"/>
                <w:b w:val="0"/>
                <w:w w:val="100"/>
                <w:sz w:val="21"/>
                <w:szCs w:val="21"/>
                <w:lang w:eastAsia="zh-CN"/>
              </w:rPr>
            </w:pPr>
            <w:r>
              <w:rPr>
                <w:rFonts w:hint="eastAsia" w:ascii="仿宋" w:hAnsi="仿宋" w:eastAsia="仿宋" w:cs="仿宋"/>
                <w:color w:val="auto"/>
                <w:sz w:val="21"/>
                <w:szCs w:val="21"/>
              </w:rPr>
              <w:t>对非法采矿行为处罚对象履行处罚决定义务情况进行检查</w:t>
            </w:r>
          </w:p>
        </w:tc>
        <w:tc>
          <w:tcPr>
            <w:tcW w:w="2550"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sz w:val="21"/>
                <w:szCs w:val="21"/>
              </w:rPr>
              <w:t>对非法采矿行为处罚对象履行处罚决定义务情况进行检查</w:t>
            </w:r>
          </w:p>
        </w:tc>
        <w:tc>
          <w:tcPr>
            <w:tcW w:w="5013"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sz w:val="21"/>
                <w:szCs w:val="21"/>
              </w:rPr>
              <w:t>《中华人民共和国矿产资源法》第三条勘查、开采矿产资源，必须依法分别申请、经批准取得探矿权、采矿权，并办理登记；但是，已经依法申请取得采矿权的矿山企业在划定的矿区范围内为本企业的生产而进行的勘查除外。</w:t>
            </w:r>
          </w:p>
        </w:tc>
        <w:tc>
          <w:tcPr>
            <w:tcW w:w="1381" w:type="dxa"/>
            <w:vAlign w:val="center"/>
          </w:tcPr>
          <w:p>
            <w:pPr>
              <w:spacing w:line="240" w:lineRule="auto"/>
              <w:jc w:val="both"/>
              <w:rPr>
                <w:rFonts w:ascii="宋体" w:hAnsi="宋体" w:eastAsia="宋体" w:cs="宋体"/>
                <w:sz w:val="21"/>
                <w:szCs w:val="21"/>
              </w:rPr>
            </w:pPr>
            <w:r>
              <w:rPr>
                <w:rFonts w:hint="eastAsia" w:ascii="仿宋" w:hAnsi="仿宋" w:eastAsia="仿宋" w:cs="仿宋"/>
                <w:color w:val="auto"/>
                <w:sz w:val="21"/>
                <w:szCs w:val="21"/>
              </w:rPr>
              <w:t>202</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年</w:t>
            </w:r>
            <w:r>
              <w:rPr>
                <w:rFonts w:hint="eastAsia" w:ascii="仿宋" w:hAnsi="仿宋" w:eastAsia="仿宋" w:cs="仿宋"/>
                <w:color w:val="auto"/>
                <w:sz w:val="21"/>
                <w:szCs w:val="21"/>
                <w:lang w:eastAsia="zh-CN"/>
              </w:rPr>
              <w:t>全年</w:t>
            </w:r>
          </w:p>
        </w:tc>
        <w:tc>
          <w:tcPr>
            <w:tcW w:w="1400"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kern w:val="0"/>
                <w:sz w:val="21"/>
                <w:szCs w:val="21"/>
              </w:rPr>
              <w:t>现场调阅审查</w:t>
            </w:r>
          </w:p>
        </w:tc>
        <w:tc>
          <w:tcPr>
            <w:tcW w:w="1297"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宋体" w:hAnsi="宋体" w:cs="宋体"/>
                <w:kern w:val="0"/>
                <w:sz w:val="21"/>
                <w:szCs w:val="21"/>
                <w:lang w:val="en-US" w:eastAsia="zh-CN"/>
              </w:rPr>
            </w:pPr>
          </w:p>
        </w:tc>
        <w:tc>
          <w:tcPr>
            <w:tcW w:w="1743" w:type="dxa"/>
            <w:vAlign w:val="center"/>
          </w:tcPr>
          <w:p>
            <w:pPr>
              <w:widowControl/>
              <w:spacing w:line="240" w:lineRule="auto"/>
              <w:jc w:val="both"/>
              <w:rPr>
                <w:rFonts w:hint="eastAsia" w:ascii="宋体" w:hAnsi="宋体" w:eastAsia="宋体" w:cs="宋体"/>
                <w:sz w:val="21"/>
                <w:szCs w:val="21"/>
              </w:rPr>
            </w:pPr>
            <w:r>
              <w:rPr>
                <w:rFonts w:hint="eastAsia" w:ascii="仿宋" w:hAnsi="仿宋" w:eastAsia="仿宋" w:cs="仿宋"/>
                <w:color w:val="auto"/>
                <w:sz w:val="21"/>
                <w:szCs w:val="21"/>
                <w:lang w:val="en-US" w:eastAsia="zh-CN"/>
              </w:rPr>
              <w:t>瓦房店市自然资源局</w:t>
            </w:r>
          </w:p>
        </w:tc>
        <w:tc>
          <w:tcPr>
            <w:tcW w:w="1505" w:type="dxa"/>
            <w:vAlign w:val="center"/>
          </w:tcPr>
          <w:p>
            <w:pPr>
              <w:widowControl/>
              <w:spacing w:line="240" w:lineRule="auto"/>
              <w:jc w:val="both"/>
              <w:rPr>
                <w:rFonts w:hint="eastAsia" w:ascii="宋体" w:hAnsi="宋体" w:eastAsia="宋体" w:cs="宋体"/>
                <w:b w:val="0"/>
                <w:w w:val="100"/>
                <w:sz w:val="21"/>
                <w:szCs w:val="21"/>
                <w:lang w:eastAsia="zh-CN"/>
              </w:rPr>
            </w:pPr>
            <w:r>
              <w:rPr>
                <w:rFonts w:hint="eastAsia" w:ascii="仿宋" w:hAnsi="仿宋" w:eastAsia="仿宋" w:cs="仿宋"/>
                <w:color w:val="auto"/>
                <w:sz w:val="21"/>
                <w:szCs w:val="21"/>
              </w:rPr>
              <w:t>对已取得国有、集体建设用地使用权的企业依法使用土地情况的监督检查</w:t>
            </w:r>
          </w:p>
        </w:tc>
        <w:tc>
          <w:tcPr>
            <w:tcW w:w="2550"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sz w:val="21"/>
                <w:szCs w:val="21"/>
              </w:rPr>
              <w:t>对已取得国有、集体建设用地使用权的企业依法使用土地情况的监督检查</w:t>
            </w:r>
          </w:p>
        </w:tc>
        <w:tc>
          <w:tcPr>
            <w:tcW w:w="5013"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kern w:val="0"/>
                <w:sz w:val="21"/>
                <w:szCs w:val="21"/>
              </w:rPr>
              <w:t>　《中华人民共和国土地管理法》</w:t>
            </w:r>
            <w:r>
              <w:rPr>
                <w:rFonts w:hint="eastAsia" w:ascii="仿宋" w:hAnsi="仿宋" w:eastAsia="仿宋" w:cs="仿宋"/>
                <w:color w:val="auto"/>
                <w:sz w:val="21"/>
                <w:szCs w:val="21"/>
              </w:rPr>
              <w:t>第三十八条　禁止任何单位和个人闲置、荒芜耕地。已经办理审批手续的非农业建设占用耕地，一年内不用而又可以耕种并收获的，应当由原耕种该幅耕地的集体或者个人恢复耕种，也可以由用地单位组织耕种；一年以上未动工建设的，应当按照省、自治区、直辖市的规定缴纳闲置费；连续二年未使用的，经原批准机关批准，由县级以上人民政府无偿收回用地单位的土地使用权；该幅土地原为农民集体所有的，应当交由原农村集体经济组织恢复耕种。</w:t>
            </w:r>
          </w:p>
        </w:tc>
        <w:tc>
          <w:tcPr>
            <w:tcW w:w="1381" w:type="dxa"/>
            <w:vAlign w:val="center"/>
          </w:tcPr>
          <w:p>
            <w:pPr>
              <w:spacing w:line="240" w:lineRule="auto"/>
              <w:jc w:val="both"/>
              <w:rPr>
                <w:rFonts w:ascii="宋体" w:hAnsi="宋体" w:eastAsia="宋体" w:cs="宋体"/>
                <w:sz w:val="21"/>
                <w:szCs w:val="21"/>
              </w:rPr>
            </w:pPr>
            <w:r>
              <w:rPr>
                <w:rFonts w:hint="eastAsia" w:ascii="仿宋" w:hAnsi="仿宋" w:eastAsia="仿宋" w:cs="仿宋"/>
                <w:color w:val="auto"/>
                <w:sz w:val="21"/>
                <w:szCs w:val="21"/>
              </w:rPr>
              <w:t>202</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年</w:t>
            </w:r>
            <w:r>
              <w:rPr>
                <w:rFonts w:hint="eastAsia" w:ascii="仿宋" w:hAnsi="仿宋" w:eastAsia="仿宋" w:cs="仿宋"/>
                <w:color w:val="auto"/>
                <w:sz w:val="21"/>
                <w:szCs w:val="21"/>
                <w:lang w:eastAsia="zh-CN"/>
              </w:rPr>
              <w:t>全年</w:t>
            </w:r>
          </w:p>
        </w:tc>
        <w:tc>
          <w:tcPr>
            <w:tcW w:w="1400"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kern w:val="0"/>
                <w:sz w:val="21"/>
                <w:szCs w:val="21"/>
              </w:rPr>
              <w:t>现场调阅审查</w:t>
            </w:r>
          </w:p>
        </w:tc>
        <w:tc>
          <w:tcPr>
            <w:tcW w:w="1297" w:type="dxa"/>
            <w:vAlign w:val="center"/>
          </w:tcPr>
          <w:p>
            <w:pPr>
              <w:widowControl/>
              <w:spacing w:line="240" w:lineRule="auto"/>
              <w:jc w:val="both"/>
              <w:rPr>
                <w:rFonts w:ascii="宋体" w:hAnsi="宋体" w:eastAsia="宋体" w:cs="宋体"/>
                <w:sz w:val="21"/>
                <w:szCs w:val="21"/>
              </w:rPr>
            </w:pPr>
            <w:r>
              <w:rPr>
                <w:rFonts w:hint="eastAsia" w:ascii="仿宋" w:hAnsi="仿宋" w:eastAsia="仿宋" w:cs="仿宋"/>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宋体" w:hAnsi="宋体" w:cs="宋体"/>
                <w:kern w:val="0"/>
                <w:sz w:val="15"/>
                <w:szCs w:val="15"/>
                <w:lang w:val="en-US" w:eastAsia="zh-CN"/>
              </w:rPr>
            </w:pPr>
          </w:p>
        </w:tc>
        <w:tc>
          <w:tcPr>
            <w:tcW w:w="1743" w:type="dxa"/>
            <w:vAlign w:val="center"/>
          </w:tcPr>
          <w:p>
            <w:pPr>
              <w:widowControl/>
              <w:spacing w:line="240" w:lineRule="auto"/>
              <w:jc w:val="both"/>
              <w:rPr>
                <w:rFonts w:hint="eastAsia" w:ascii="仿宋" w:hAnsi="仿宋" w:eastAsia="仿宋" w:cs="仿宋"/>
                <w:sz w:val="21"/>
                <w:szCs w:val="21"/>
              </w:rPr>
            </w:pPr>
            <w:r>
              <w:rPr>
                <w:rFonts w:hint="eastAsia" w:ascii="仿宋" w:hAnsi="仿宋" w:eastAsia="仿宋" w:cs="仿宋"/>
                <w:color w:val="auto"/>
                <w:sz w:val="21"/>
                <w:szCs w:val="21"/>
                <w:lang w:val="en-US" w:eastAsia="zh-CN"/>
              </w:rPr>
              <w:t>瓦房店市自然资源局</w:t>
            </w:r>
          </w:p>
        </w:tc>
        <w:tc>
          <w:tcPr>
            <w:tcW w:w="1505" w:type="dxa"/>
            <w:vAlign w:val="center"/>
          </w:tcPr>
          <w:p>
            <w:pPr>
              <w:widowControl/>
              <w:spacing w:line="240" w:lineRule="auto"/>
              <w:jc w:val="both"/>
              <w:rPr>
                <w:rFonts w:hint="eastAsia" w:ascii="仿宋" w:hAnsi="仿宋" w:eastAsia="仿宋" w:cs="仿宋"/>
                <w:b w:val="0"/>
                <w:w w:val="100"/>
                <w:sz w:val="21"/>
                <w:szCs w:val="21"/>
                <w:lang w:eastAsia="zh-CN"/>
              </w:rPr>
            </w:pPr>
            <w:r>
              <w:rPr>
                <w:rFonts w:hint="eastAsia" w:ascii="仿宋" w:hAnsi="仿宋" w:eastAsia="仿宋" w:cs="仿宋"/>
                <w:color w:val="auto"/>
                <w:kern w:val="0"/>
                <w:sz w:val="21"/>
                <w:szCs w:val="21"/>
              </w:rPr>
              <w:t>对矿山治理情况的监督检查</w:t>
            </w:r>
          </w:p>
        </w:tc>
        <w:tc>
          <w:tcPr>
            <w:tcW w:w="2550" w:type="dxa"/>
            <w:vAlign w:val="center"/>
          </w:tcPr>
          <w:p>
            <w:pPr>
              <w:widowControl/>
              <w:spacing w:line="240" w:lineRule="auto"/>
              <w:jc w:val="both"/>
              <w:rPr>
                <w:rFonts w:hint="eastAsia" w:ascii="仿宋" w:hAnsi="仿宋" w:eastAsia="仿宋" w:cs="仿宋"/>
                <w:sz w:val="21"/>
                <w:szCs w:val="21"/>
              </w:rPr>
            </w:pPr>
            <w:r>
              <w:rPr>
                <w:rFonts w:hint="eastAsia" w:ascii="仿宋" w:hAnsi="仿宋" w:eastAsia="仿宋" w:cs="仿宋"/>
                <w:color w:val="auto"/>
                <w:kern w:val="0"/>
                <w:sz w:val="21"/>
                <w:szCs w:val="21"/>
              </w:rPr>
              <w:t>对矿山治理情况的监督检查</w:t>
            </w:r>
          </w:p>
        </w:tc>
        <w:tc>
          <w:tcPr>
            <w:tcW w:w="5013" w:type="dxa"/>
            <w:vAlign w:val="center"/>
          </w:tcPr>
          <w:p>
            <w:pPr>
              <w:spacing w:line="240" w:lineRule="auto"/>
              <w:jc w:val="both"/>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《矿山地质环境保护规定》第二十六条 </w:t>
            </w:r>
            <w:r>
              <w:rPr>
                <w:rFonts w:hint="eastAsia" w:ascii="仿宋" w:hAnsi="仿宋" w:eastAsia="仿宋" w:cs="仿宋"/>
                <w:color w:val="auto"/>
                <w:sz w:val="21"/>
                <w:szCs w:val="21"/>
              </w:rPr>
              <w:t>县级以上国土资源行政主管部门对采矿权人履行矿山地质环境保护与治理恢复义务的情况进行监督检查。</w:t>
            </w:r>
          </w:p>
          <w:p>
            <w:pPr>
              <w:spacing w:line="240" w:lineRule="auto"/>
              <w:ind w:firstLine="420" w:firstLineChars="200"/>
              <w:jc w:val="both"/>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二十七条 </w:t>
            </w:r>
            <w:r>
              <w:rPr>
                <w:rFonts w:hint="eastAsia" w:ascii="仿宋" w:hAnsi="仿宋" w:eastAsia="仿宋" w:cs="仿宋"/>
                <w:color w:val="auto"/>
                <w:sz w:val="21"/>
                <w:szCs w:val="21"/>
              </w:rPr>
              <w:t>县级以上国土资源行政主管部门应当建立本行政区域内的矿山地质环境监测工作体系，健全监测网络，对矿山地质环境进行动态监测，指导、监督采矿权人开展矿山地质环境监测。</w:t>
            </w:r>
          </w:p>
          <w:p>
            <w:pPr>
              <w:spacing w:line="240" w:lineRule="auto"/>
              <w:ind w:firstLine="420" w:firstLineChars="200"/>
              <w:jc w:val="both"/>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二十八条</w:t>
            </w:r>
            <w:r>
              <w:rPr>
                <w:rFonts w:hint="eastAsia" w:ascii="仿宋" w:hAnsi="仿宋" w:eastAsia="仿宋" w:cs="仿宋"/>
                <w:color w:val="auto"/>
                <w:sz w:val="21"/>
                <w:szCs w:val="21"/>
              </w:rPr>
              <w:t>县级以上国土资源行政主管部门在履行矿山地质环境保护的监督检查职责时，有权对矿山地质环境保护与治理恢复方案确立的治理恢复措施落实情况和矿山地质环境监测情况进行现场检查，对违反本规定的行为有权制止并依法查处。</w:t>
            </w:r>
          </w:p>
          <w:p>
            <w:pPr>
              <w:widowControl/>
              <w:spacing w:line="240" w:lineRule="auto"/>
              <w:jc w:val="both"/>
              <w:rPr>
                <w:rFonts w:hint="eastAsia" w:ascii="仿宋" w:hAnsi="仿宋" w:eastAsia="仿宋" w:cs="仿宋"/>
                <w:sz w:val="21"/>
                <w:szCs w:val="21"/>
              </w:rPr>
            </w:pPr>
            <w:r>
              <w:rPr>
                <w:rFonts w:hint="eastAsia" w:ascii="仿宋" w:hAnsi="仿宋" w:eastAsia="仿宋" w:cs="仿宋"/>
                <w:color w:val="auto"/>
                <w:kern w:val="0"/>
                <w:sz w:val="21"/>
                <w:szCs w:val="21"/>
              </w:rPr>
              <w:t>二十九条</w:t>
            </w:r>
            <w:r>
              <w:rPr>
                <w:rFonts w:hint="eastAsia" w:ascii="仿宋" w:hAnsi="仿宋" w:eastAsia="仿宋" w:cs="仿宋"/>
                <w:color w:val="auto"/>
                <w:sz w:val="21"/>
                <w:szCs w:val="21"/>
              </w:rPr>
              <w:t>开采矿产资源等活动造成矿山地质环境突发事件的，有关责任人应当采取应急措施，并立即向当地人民政府报告。</w:t>
            </w:r>
          </w:p>
        </w:tc>
        <w:tc>
          <w:tcPr>
            <w:tcW w:w="1381" w:type="dxa"/>
            <w:vAlign w:val="center"/>
          </w:tcPr>
          <w:p>
            <w:pPr>
              <w:spacing w:line="240" w:lineRule="auto"/>
              <w:jc w:val="both"/>
              <w:rPr>
                <w:rFonts w:hint="eastAsia" w:ascii="仿宋" w:hAnsi="仿宋" w:eastAsia="仿宋" w:cs="仿宋"/>
                <w:sz w:val="21"/>
                <w:szCs w:val="21"/>
              </w:rPr>
            </w:pPr>
            <w:r>
              <w:rPr>
                <w:rFonts w:hint="eastAsia" w:ascii="仿宋" w:hAnsi="仿宋" w:eastAsia="仿宋" w:cs="仿宋"/>
                <w:color w:val="auto"/>
                <w:sz w:val="21"/>
                <w:szCs w:val="21"/>
              </w:rPr>
              <w:t>202</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年</w:t>
            </w:r>
            <w:r>
              <w:rPr>
                <w:rFonts w:hint="eastAsia" w:ascii="仿宋" w:hAnsi="仿宋" w:eastAsia="仿宋" w:cs="仿宋"/>
                <w:color w:val="auto"/>
                <w:sz w:val="21"/>
                <w:szCs w:val="21"/>
                <w:lang w:eastAsia="zh-CN"/>
              </w:rPr>
              <w:t>全年</w:t>
            </w:r>
          </w:p>
        </w:tc>
        <w:tc>
          <w:tcPr>
            <w:tcW w:w="1400" w:type="dxa"/>
            <w:vAlign w:val="center"/>
          </w:tcPr>
          <w:p>
            <w:pPr>
              <w:widowControl/>
              <w:spacing w:line="240" w:lineRule="auto"/>
              <w:jc w:val="both"/>
              <w:rPr>
                <w:rFonts w:hint="eastAsia" w:ascii="仿宋" w:hAnsi="仿宋" w:eastAsia="仿宋" w:cs="仿宋"/>
                <w:sz w:val="21"/>
                <w:szCs w:val="21"/>
              </w:rPr>
            </w:pPr>
            <w:r>
              <w:rPr>
                <w:rFonts w:hint="eastAsia" w:ascii="仿宋" w:hAnsi="仿宋" w:eastAsia="仿宋" w:cs="仿宋"/>
                <w:color w:val="auto"/>
                <w:kern w:val="0"/>
                <w:sz w:val="21"/>
                <w:szCs w:val="21"/>
              </w:rPr>
              <w:t>现场调阅审查</w:t>
            </w:r>
          </w:p>
        </w:tc>
        <w:tc>
          <w:tcPr>
            <w:tcW w:w="1297" w:type="dxa"/>
            <w:vAlign w:val="center"/>
          </w:tcPr>
          <w:p>
            <w:pPr>
              <w:widowControl/>
              <w:spacing w:line="240" w:lineRule="auto"/>
              <w:jc w:val="both"/>
              <w:rPr>
                <w:rFonts w:hint="eastAsia" w:ascii="仿宋" w:hAnsi="仿宋" w:eastAsia="仿宋" w:cs="仿宋"/>
                <w:sz w:val="21"/>
                <w:szCs w:val="21"/>
              </w:rPr>
            </w:pPr>
            <w:r>
              <w:rPr>
                <w:rFonts w:hint="eastAsia" w:ascii="仿宋" w:hAnsi="仿宋" w:eastAsia="仿宋" w:cs="仿宋"/>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15"/>
                <w:szCs w:val="15"/>
                <w:lang w:val="en-US" w:eastAsia="zh-CN"/>
              </w:rPr>
            </w:pPr>
            <w:r>
              <w:rPr>
                <w:rFonts w:hint="eastAsia" w:ascii="宋体" w:hAnsi="宋体" w:cs="宋体"/>
                <w:kern w:val="0"/>
                <w:sz w:val="24"/>
                <w:szCs w:val="24"/>
                <w:lang w:val="en-US" w:eastAsia="zh-CN"/>
              </w:rPr>
              <w:t>13</w:t>
            </w: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lang w:eastAsia="zh-CN"/>
              </w:rPr>
              <w:t>瓦房店市卫生健康局</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b w:val="0"/>
                <w:w w:val="100"/>
                <w:sz w:val="21"/>
                <w:szCs w:val="21"/>
                <w:lang w:eastAsia="zh-CN"/>
              </w:rPr>
            </w:pPr>
            <w:r>
              <w:rPr>
                <w:rFonts w:hint="eastAsia" w:ascii="仿宋" w:hAnsi="仿宋" w:eastAsia="仿宋" w:cs="仿宋"/>
                <w:kern w:val="0"/>
                <w:sz w:val="21"/>
                <w:szCs w:val="21"/>
              </w:rPr>
              <w:t>辖区内医疗机构（包括中医药服务医疗机构）</w:t>
            </w:r>
          </w:p>
        </w:tc>
        <w:tc>
          <w:tcPr>
            <w:tcW w:w="255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医疗卫生机构（包括中医药服务医疗机构）规范执业情况</w:t>
            </w:r>
          </w:p>
        </w:tc>
        <w:tc>
          <w:tcPr>
            <w:tcW w:w="501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1.《中华人民共和国基本医疗卫生与健康促进法》第九十四条　县级以上地方人民政府卫生健康主管部门及其委托的卫生健康监督机构，依法开展本行政区域医疗卫生等行政执法工作。</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2.《医疗机构管理条例》第四十条第二项  对医疗机构的执业活动进行检查指导。</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3..《中华人民共和国执业医师法》第十九条  县级以上地方人民政府卫生行政部门对个体行医的医师，应当按照国务院卫生行政部门的规定，经常监督检查，凡发现有本法第十六条规定的情形的，应当及时注销注册，收回医师执业证书。</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4.《护士条例》第五条　国务院卫生主管部门负责全国的护士监督管理工作；县级以上地方人民政府卫生主管部门负责本行政区域的护士监督管理工作。</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5.《麻醉药品和精神药品管理条例》第五条第二款　省、自治区、直辖市人民政府药品监督管理部门负责本行政区域内麻醉药品和精神药品的监督管理工作。县级以上地方公安机关负责对本行政区域内造成麻醉药品和精神药品流入非法渠道的行为进行查处。县级以上地方人民政府其他有关主管部门在各自的职责范围内负责与麻醉药品和精神药品有关的管理工作。</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6.《中华人民共和国中医药法》第二十条 县级以上人民政府中医药主管部门应当加强对中医药服务的监督检查，并将下列事项作为监督检查的重点：(一)中医医疗机构、中医医师是否超出规定的范围开展医疗活动;(二)开展中医药服务是否符合国务院中医药主管部门制定的中医药服务基本要求;(三)中医医疗广告发布行为是否符合本法的规定。</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中医药主管部门依法开展监督检查，有关单位和个人应当予以配合，不得拒绝或者阻挠。</w:t>
            </w:r>
          </w:p>
        </w:tc>
        <w:tc>
          <w:tcPr>
            <w:tcW w:w="1381"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lang w:val="en-US" w:eastAsia="zh-CN"/>
              </w:rPr>
              <w:t>2023年</w:t>
            </w:r>
            <w:r>
              <w:rPr>
                <w:rFonts w:hint="eastAsia" w:ascii="仿宋" w:hAnsi="仿宋" w:eastAsia="仿宋" w:cs="仿宋"/>
                <w:kern w:val="0"/>
                <w:sz w:val="21"/>
                <w:szCs w:val="21"/>
              </w:rPr>
              <w:t>1</w:t>
            </w:r>
            <w:r>
              <w:rPr>
                <w:rFonts w:hint="eastAsia" w:ascii="仿宋" w:hAnsi="仿宋" w:eastAsia="仿宋" w:cs="仿宋"/>
                <w:kern w:val="0"/>
                <w:sz w:val="21"/>
                <w:szCs w:val="21"/>
                <w:lang w:eastAsia="zh-CN"/>
              </w:rPr>
              <w:t>月</w:t>
            </w:r>
            <w:r>
              <w:rPr>
                <w:rFonts w:hint="eastAsia" w:ascii="仿宋" w:hAnsi="仿宋" w:eastAsia="仿宋" w:cs="仿宋"/>
                <w:kern w:val="0"/>
                <w:sz w:val="21"/>
                <w:szCs w:val="21"/>
              </w:rPr>
              <w:t>-11月</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7"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18"/>
                <w:szCs w:val="18"/>
                <w:lang w:val="en-US" w:eastAsia="zh-CN"/>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lang w:eastAsia="zh-CN"/>
              </w:rPr>
              <w:t>瓦房店市卫生健康局</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b w:val="0"/>
                <w:w w:val="100"/>
                <w:sz w:val="21"/>
                <w:szCs w:val="21"/>
                <w:lang w:eastAsia="zh-CN"/>
              </w:rPr>
            </w:pPr>
            <w:r>
              <w:rPr>
                <w:rFonts w:hint="eastAsia" w:ascii="仿宋" w:hAnsi="仿宋" w:eastAsia="仿宋" w:cs="仿宋"/>
                <w:kern w:val="0"/>
                <w:sz w:val="21"/>
                <w:szCs w:val="21"/>
              </w:rPr>
              <w:t>辖区内公共场所单位</w:t>
            </w:r>
          </w:p>
        </w:tc>
        <w:tc>
          <w:tcPr>
            <w:tcW w:w="255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1.对辖区内公共场所的空气、水质、顾客用品用具等卫生质量进行监督抽检及快速检测，并对卫生管理制度实施情况、卫生设施及集中空调通风系统进行监督检查和量化分级管理。</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2.依据国家“双随机”任务，抽查部分公共场所单位。</w:t>
            </w:r>
          </w:p>
        </w:tc>
        <w:tc>
          <w:tcPr>
            <w:tcW w:w="501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《公共场所卫生管理条例实施细则》第三十一条 县级以上地方人民政府卫生行政部门对公共场所进行监督检查，应当依据有关卫生标准和要求，采取现场卫生监测、采样、查阅和复制文件、询问等方法，有关单位和个人不得拒绝或者隐瞒。第三十二条县级以上人民政府卫生行政部门应当加强公共场所卫生监督抽检，并将抽检结果向社会公布。</w:t>
            </w:r>
          </w:p>
        </w:tc>
        <w:tc>
          <w:tcPr>
            <w:tcW w:w="1381"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lang w:val="en-US" w:eastAsia="zh-CN"/>
              </w:rPr>
              <w:t>2023年</w:t>
            </w:r>
            <w:r>
              <w:rPr>
                <w:rFonts w:hint="eastAsia" w:ascii="仿宋" w:hAnsi="仿宋" w:eastAsia="仿宋" w:cs="仿宋"/>
                <w:kern w:val="0"/>
                <w:sz w:val="21"/>
                <w:szCs w:val="21"/>
              </w:rPr>
              <w:t>1</w:t>
            </w:r>
            <w:r>
              <w:rPr>
                <w:rFonts w:hint="eastAsia" w:ascii="仿宋" w:hAnsi="仿宋" w:eastAsia="仿宋" w:cs="仿宋"/>
                <w:kern w:val="0"/>
                <w:sz w:val="21"/>
                <w:szCs w:val="21"/>
                <w:lang w:eastAsia="zh-CN"/>
              </w:rPr>
              <w:t>月</w:t>
            </w:r>
            <w:r>
              <w:rPr>
                <w:rFonts w:hint="eastAsia" w:ascii="仿宋" w:hAnsi="仿宋" w:eastAsia="仿宋" w:cs="仿宋"/>
                <w:kern w:val="0"/>
                <w:sz w:val="21"/>
                <w:szCs w:val="21"/>
              </w:rPr>
              <w:t>-11月</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9"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18"/>
                <w:szCs w:val="18"/>
                <w:lang w:val="en-US" w:eastAsia="zh-CN"/>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lang w:eastAsia="zh-CN"/>
              </w:rPr>
              <w:t>瓦房店市卫生健康局</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b w:val="0"/>
                <w:w w:val="100"/>
                <w:sz w:val="21"/>
                <w:szCs w:val="21"/>
                <w:lang w:eastAsia="zh-CN"/>
              </w:rPr>
            </w:pPr>
            <w:r>
              <w:rPr>
                <w:rFonts w:hint="eastAsia" w:ascii="仿宋" w:hAnsi="仿宋" w:eastAsia="仿宋" w:cs="仿宋"/>
                <w:kern w:val="0"/>
                <w:sz w:val="21"/>
                <w:szCs w:val="21"/>
              </w:rPr>
              <w:t>辖区内产生或存在职业病危害的用人单位</w:t>
            </w:r>
          </w:p>
        </w:tc>
        <w:tc>
          <w:tcPr>
            <w:tcW w:w="255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　对用人单位贯彻落实职业病防治法律法规工作进行监督检查</w:t>
            </w:r>
          </w:p>
        </w:tc>
        <w:tc>
          <w:tcPr>
            <w:tcW w:w="501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1.《中华人民共和国职业病防治法》第六十二条 县级以上人民政府职业卫生监督管理部门依照职业病防治法律、法规、国家职业卫生标准和卫生要求，依据职责划分，对职业病防治工作进行监督检查。</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2.《中华人民共和国尘肺病防治条例》第十五条 卫生行政部门、劳动部门和工会组织分工协作，互相配合，对企业、事业单位的尘肺病防治工作进行监督。</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3.《使用有毒物品作业场所劳动保护条例》第四十七条 县级以上人民政府卫生行政部门应当依照本条例的规定和国家有关职业卫生要求，依据职责划分，对作业场所使用有毒物品作业</w:t>
            </w:r>
            <w:r>
              <w:rPr>
                <w:rFonts w:hint="eastAsia" w:ascii="仿宋" w:hAnsi="仿宋" w:eastAsia="仿宋" w:cs="仿宋"/>
                <w:kern w:val="0"/>
                <w:sz w:val="21"/>
                <w:szCs w:val="21"/>
                <w:lang w:val="en-US" w:eastAsia="zh-CN"/>
              </w:rPr>
              <w:t xml:space="preserve"> </w:t>
            </w:r>
            <w:r>
              <w:rPr>
                <w:rFonts w:hint="eastAsia" w:ascii="仿宋" w:hAnsi="仿宋" w:eastAsia="仿宋" w:cs="仿宋"/>
                <w:kern w:val="0"/>
                <w:sz w:val="21"/>
                <w:szCs w:val="21"/>
              </w:rPr>
              <w:t>及职业中毒危害检测、评价活动进行监督检查。</w:t>
            </w:r>
          </w:p>
        </w:tc>
        <w:tc>
          <w:tcPr>
            <w:tcW w:w="1381"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lang w:val="en-US" w:eastAsia="zh-CN"/>
              </w:rPr>
              <w:t>2023年</w:t>
            </w:r>
            <w:r>
              <w:rPr>
                <w:rFonts w:hint="eastAsia" w:ascii="仿宋" w:hAnsi="仿宋" w:eastAsia="仿宋" w:cs="仿宋"/>
                <w:kern w:val="0"/>
                <w:sz w:val="21"/>
                <w:szCs w:val="21"/>
              </w:rPr>
              <w:t>1</w:t>
            </w:r>
            <w:r>
              <w:rPr>
                <w:rFonts w:hint="eastAsia" w:ascii="仿宋" w:hAnsi="仿宋" w:eastAsia="仿宋" w:cs="仿宋"/>
                <w:kern w:val="0"/>
                <w:sz w:val="21"/>
                <w:szCs w:val="21"/>
                <w:lang w:eastAsia="zh-CN"/>
              </w:rPr>
              <w:t>月</w:t>
            </w:r>
            <w:r>
              <w:rPr>
                <w:rFonts w:hint="eastAsia" w:ascii="仿宋" w:hAnsi="仿宋" w:eastAsia="仿宋" w:cs="仿宋"/>
                <w:kern w:val="0"/>
                <w:sz w:val="21"/>
                <w:szCs w:val="21"/>
              </w:rPr>
              <w:t>-11月</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sz w:val="21"/>
                <w:szCs w:val="21"/>
              </w:rPr>
            </w:pPr>
            <w:r>
              <w:rPr>
                <w:rFonts w:hint="eastAsia" w:ascii="仿宋" w:hAnsi="仿宋" w:eastAsia="仿宋" w:cs="仿宋"/>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6"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24"/>
                <w:szCs w:val="24"/>
                <w:lang w:val="en-US" w:eastAsia="zh-CN"/>
              </w:rPr>
            </w:pPr>
            <w:r>
              <w:rPr>
                <w:rFonts w:hint="eastAsia" w:ascii="宋体" w:hAnsi="宋体" w:cs="宋体"/>
                <w:kern w:val="0"/>
                <w:sz w:val="24"/>
                <w:szCs w:val="24"/>
                <w:lang w:val="en-US" w:eastAsia="zh-CN"/>
              </w:rPr>
              <w:t>14</w:t>
            </w: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大连市医疗保障局瓦房店分局</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lang w:eastAsia="zh-CN"/>
              </w:rPr>
            </w:pPr>
            <w:r>
              <w:rPr>
                <w:rFonts w:hint="eastAsia" w:ascii="仿宋" w:hAnsi="仿宋" w:eastAsia="仿宋" w:cs="仿宋"/>
                <w:kern w:val="0"/>
                <w:sz w:val="21"/>
                <w:szCs w:val="21"/>
              </w:rPr>
              <w:t>690余家定点医药单位</w:t>
            </w:r>
          </w:p>
        </w:tc>
        <w:tc>
          <w:tcPr>
            <w:tcW w:w="255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对医疗保险基金使用情况的监督检查</w:t>
            </w:r>
          </w:p>
        </w:tc>
        <w:tc>
          <w:tcPr>
            <w:tcW w:w="501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《中华人民共和国社会保险法》</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第七十九条 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《医疗保障基金使用监督管理条例》</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第二十五条 医疗保障行政部门应当根据医疗保障基金风险评估、举报投诉线索、医疗保险数据监控等因素，确定检查重点，组织开展专项检查。</w:t>
            </w:r>
          </w:p>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第二十六条 医疗保障行政部门可以会同卫生健康、中医药、市场监督管理、财政、公安等部门开展联合检查。</w:t>
            </w:r>
          </w:p>
        </w:tc>
        <w:tc>
          <w:tcPr>
            <w:tcW w:w="1381"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每季度检查200家</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rPr>
              <w:t>卫健局、市场监管局、财政局、公安局等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9"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default" w:ascii="宋体" w:hAnsi="宋体" w:cs="宋体"/>
                <w:kern w:val="0"/>
                <w:sz w:val="15"/>
                <w:szCs w:val="15"/>
                <w:lang w:val="en-US" w:eastAsia="zh-CN"/>
              </w:rPr>
            </w:pPr>
            <w:r>
              <w:rPr>
                <w:rFonts w:hint="eastAsia" w:ascii="宋体" w:hAnsi="宋体" w:cs="宋体"/>
                <w:kern w:val="0"/>
                <w:sz w:val="24"/>
                <w:szCs w:val="24"/>
                <w:lang w:val="en-US" w:eastAsia="zh-CN"/>
              </w:rPr>
              <w:t>15</w:t>
            </w: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水务局</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由市水务局发放取水许可证的用水企业</w:t>
            </w:r>
          </w:p>
        </w:tc>
        <w:tc>
          <w:tcPr>
            <w:tcW w:w="255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1、是否有取水手续;       2、是否安装计量设施；     3、计量设施是否正常运行；        4、是否按月报告取水量；   5、是否按规定按时缴纳水资源费。</w:t>
            </w:r>
          </w:p>
        </w:tc>
        <w:tc>
          <w:tcPr>
            <w:tcW w:w="501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1.《中华人民共和国水法》</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第六十条 县级以上人民政府水行政主管部门、流域管理机构及其水政监督检查人员履行本法规定的监督检查职责时，有权采取下列措施：</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（一）要求被检查单位提供有关文件、证照、资料；</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（二）要求被检查单位就执行本法的有关问题作出说明；</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（三）进入被检查单位的生产场所进行调查；</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（四）责令被检查单位停止违反本法的行为，履行法定义务。</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 xml:space="preserve">2.《取水许可和水资源费征收管理条例》 </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第三十八条 县级以上人民政府水行政主管部门或者流域管理机构应当依照本条例规定，加强对取水许可制度实施的监督管理。县级以上人民政府水行政主管部门、财政部门和价格主管部门应当加强对水资源费征收、使用情况的监督管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第四十五条 县级以上人民政府水行政主管部门或者流域管理机构在进行监督检查时，有权采取下列措施:</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(一)要求被检查单位或者个人提供有关文件、证照、资料;</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(二)要求被检查单位或者个人就执行本条例的有关问题作出说明;</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(三)进入被检查单位或者个人的生产场所进行调查;</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(四)责令被检查单位或者个人停止违反本条例的行为，履行法定义务。</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监督检查人员在进行监督检查时，应当出示合法有效的行政执法证件。有关单位和个人对监督检查工作应当给予配合，不得拒绝或者阻碍监督检查人员依法执行公务。</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3.《大连市水资源管理条例》</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第七条第一款 市及有关区（市）县人民政府水行政主管部门按照规定的权限，负责本行政区域内水资源的统一管理和监督工作。</w:t>
            </w:r>
          </w:p>
        </w:tc>
        <w:tc>
          <w:tcPr>
            <w:tcW w:w="1381"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第一季度检查1家 第二季度检查1家</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第三季度检查1家</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第四季度检查1家</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3" w:hRule="atLeast"/>
        </w:trPr>
        <w:tc>
          <w:tcPr>
            <w:tcW w:w="722"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宋体" w:hAnsi="宋体" w:cs="宋体"/>
                <w:kern w:val="0"/>
                <w:sz w:val="15"/>
                <w:szCs w:val="15"/>
                <w:lang w:val="en-US" w:eastAsia="zh-CN"/>
              </w:rPr>
            </w:pPr>
          </w:p>
        </w:tc>
        <w:tc>
          <w:tcPr>
            <w:tcW w:w="174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center"/>
              <w:textAlignment w:val="auto"/>
              <w:outlineLvl w:val="9"/>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水务局</w:t>
            </w:r>
          </w:p>
        </w:tc>
        <w:tc>
          <w:tcPr>
            <w:tcW w:w="1505"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水利部、省水利厅、大连市市水务局和瓦房店市水务局审批水土保持方案的在建的生产建设项目（包括完工未验收项目）</w:t>
            </w:r>
          </w:p>
        </w:tc>
        <w:tc>
          <w:tcPr>
            <w:tcW w:w="255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水土保持方案报告书实施情况进行监督检查</w:t>
            </w:r>
          </w:p>
        </w:tc>
        <w:tc>
          <w:tcPr>
            <w:tcW w:w="5013"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1.《中华人民共和国水土保持法》</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第二十九条 县级以上人民政府水行政主管部门、流域管理机构，应当对生产建设项目水土保持方案的实施情况进行跟踪检查，发现问题及时处理。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第四十三条 县级以上人民政府水行政主管部门负责对水土保持情况进行监督检查。流域管理机构在其管辖范围内可以行使国务院水行政主管部门的监督检查职权。</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第四十四条水政监督检查人员依法履行监督检查职责时，有权采取下列措施：</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（一）要求被检查单位或者个人提供有关文件、证照、资料；</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（二）要求被检查单位或者个人就预防和治理水土流失的有关情况作出说明；</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（三）进入现场进行调查、取证。</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被检查单位或者个人拒不停止违法行为，造成严重水土流失的，报经水行政主管部门批准，可以查封、扣押实施违法行为的工具及施工机械、设备等。</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2.《辽宁省水土保持条例》</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第三十六条 水行政主管部门应当开展水土保持日常监督检查，及时发现、制止和查处水土保持违法行为，并可以采取约谈、通报、责令限期整改等措施，以及依法查封、扣押实施违法行为的工具及施工机械、设备等。</w:t>
            </w:r>
          </w:p>
        </w:tc>
        <w:tc>
          <w:tcPr>
            <w:tcW w:w="1381"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第二季度检查1家 第三季度检查1家</w:t>
            </w:r>
          </w:p>
        </w:tc>
        <w:tc>
          <w:tcPr>
            <w:tcW w:w="1400"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现场调阅审查</w:t>
            </w:r>
          </w:p>
        </w:tc>
        <w:tc>
          <w:tcPr>
            <w:tcW w:w="1297" w:type="dxa"/>
            <w:vAlign w:val="center"/>
          </w:tcPr>
          <w:p>
            <w:pPr>
              <w:keepNext w:val="0"/>
              <w:keepLines w:val="0"/>
              <w:pageBreakBefore w:val="0"/>
              <w:widowControl/>
              <w:kinsoku/>
              <w:overflowPunct/>
              <w:topLinePunct w:val="0"/>
              <w:autoSpaceDE/>
              <w:autoSpaceDN/>
              <w:bidi w:val="0"/>
              <w:adjustRightInd/>
              <w:snapToGrid/>
              <w:spacing w:line="240" w:lineRule="auto"/>
              <w:ind w:left="0" w:leftChars="0"/>
              <w:jc w:val="both"/>
              <w:textAlignment w:val="auto"/>
              <w:outlineLvl w:val="9"/>
              <w:rPr>
                <w:rFonts w:hint="eastAsia" w:ascii="仿宋" w:hAnsi="仿宋" w:eastAsia="仿宋" w:cs="仿宋"/>
                <w:kern w:val="0"/>
                <w:sz w:val="21"/>
                <w:szCs w:val="21"/>
                <w:lang w:val="en-US" w:eastAsia="zh-CN"/>
              </w:rPr>
            </w:pPr>
          </w:p>
        </w:tc>
      </w:tr>
    </w:tbl>
    <w:p>
      <w:pPr>
        <w:spacing w:line="240" w:lineRule="auto"/>
        <w:jc w:val="both"/>
      </w:pPr>
    </w:p>
    <w:sectPr>
      <w:footerReference r:id="rId3" w:type="default"/>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val="en-US" w:eastAsia="zh-C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MjE4YzgxOGJkZTVhYjMyMjM0OWMzYzE0MTk3ODAifQ=="/>
  </w:docVars>
  <w:rsids>
    <w:rsidRoot w:val="15FB38BB"/>
    <w:rsid w:val="15FB38BB"/>
    <w:rsid w:val="1B553799"/>
    <w:rsid w:val="46F43171"/>
    <w:rsid w:val="7516167C"/>
    <w:rsid w:val="752002EB"/>
    <w:rsid w:val="75B54802"/>
    <w:rsid w:val="792164D3"/>
    <w:rsid w:val="7BCF6CAE"/>
    <w:rsid w:val="7C6143A5"/>
    <w:rsid w:val="7FDB3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99"/>
    <w:rPr>
      <w:rFonts w:cs="Times New Roman"/>
      <w:b/>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p0"/>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9820</Words>
  <Characters>10020</Characters>
  <Lines>0</Lines>
  <Paragraphs>0</Paragraphs>
  <TotalTime>109</TotalTime>
  <ScaleCrop>false</ScaleCrop>
  <LinksUpToDate>false</LinksUpToDate>
  <CharactersWithSpaces>10137</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2023-01-10T07:15:00Z</dcterms:created>
  <dc:creator>Administrator</dc:creator>
  <cp:lastModifiedBy>Administrator</cp:lastModifiedBy>
  <cp:lastPrinted>2023-01-12T08:07:42Z</cp:lastPrinted>
  <dcterms:modified xsi:type="dcterms:W3CDTF">2023-01-12T08:15:23Z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A50E4E5B765A41B78FFCC5FFA1D70173</vt:lpwstr>
  </property>
</Properties>
</file>