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 w:eastAsia="仿宋_GB2312" w:cstheme="minorBidi"/>
          <w:kern w:val="2"/>
          <w:sz w:val="32"/>
          <w:szCs w:val="32"/>
          <w:lang w:val="en-US" w:eastAsia="zh-CN" w:bidi="ar-SA"/>
        </w:rPr>
      </w:pPr>
      <w:r>
        <w:rPr>
          <w:rFonts w:hint="eastAsia" w:ascii="仿宋_GB2312" w:hAnsi="仿宋" w:eastAsia="仿宋_GB2312" w:cstheme="minorBidi"/>
          <w:kern w:val="2"/>
          <w:sz w:val="32"/>
          <w:szCs w:val="32"/>
          <w:lang w:val="en-US" w:eastAsia="zh-CN" w:bidi="ar-SA"/>
        </w:rPr>
        <w:t>附件</w:t>
      </w:r>
      <w:r>
        <w:rPr>
          <w:rFonts w:hint="eastAsia" w:ascii="仿宋_GB2312" w:hAnsi="仿宋" w:eastAsia="仿宋_GB2312" w:cstheme="minorBidi"/>
          <w:kern w:val="2"/>
          <w:sz w:val="32"/>
          <w:szCs w:val="32"/>
          <w:lang w:val="en-US" w:eastAsia="zh-CN" w:bidi="ar-SA"/>
        </w:rPr>
        <w:t>2：</w:t>
      </w:r>
    </w:p>
    <w:p>
      <w:pPr>
        <w:jc w:val="center"/>
        <w:rPr>
          <w:rFonts w:ascii="方正小标宋简体" w:hAnsi="黑体" w:eastAsia="方正小标宋简体"/>
          <w:sz w:val="36"/>
          <w:szCs w:val="36"/>
        </w:rPr>
      </w:pPr>
      <w:r>
        <w:rPr>
          <w:rFonts w:hint="eastAsia" w:ascii="方正小标宋简体" w:hAnsi="黑体" w:eastAsia="方正小标宋简体"/>
          <w:sz w:val="36"/>
          <w:szCs w:val="36"/>
        </w:rPr>
        <w:t>《</w:t>
      </w:r>
      <w:r>
        <w:rPr>
          <w:rFonts w:hint="eastAsia" w:ascii="方正小标宋简体" w:hAnsi="黑体" w:eastAsia="方正小标宋简体"/>
          <w:sz w:val="36"/>
          <w:szCs w:val="36"/>
          <w:lang w:eastAsia="zh-CN"/>
        </w:rPr>
        <w:t>瓦房店市</w:t>
      </w:r>
      <w:r>
        <w:rPr>
          <w:rFonts w:hint="eastAsia" w:ascii="方正小标宋简体" w:hAnsi="黑体" w:eastAsia="方正小标宋简体"/>
          <w:sz w:val="36"/>
          <w:szCs w:val="36"/>
        </w:rPr>
        <w:t>烟草</w:t>
      </w:r>
      <w:r>
        <w:rPr>
          <w:rFonts w:ascii="方正小标宋简体" w:hAnsi="黑体" w:eastAsia="方正小标宋简体"/>
          <w:sz w:val="36"/>
          <w:szCs w:val="36"/>
        </w:rPr>
        <w:t>专卖</w:t>
      </w:r>
      <w:r>
        <w:rPr>
          <w:rFonts w:hint="eastAsia" w:ascii="方正小标宋简体" w:hAnsi="黑体" w:eastAsia="方正小标宋简体"/>
          <w:sz w:val="36"/>
          <w:szCs w:val="36"/>
        </w:rPr>
        <w:t>局烟草制品零售点</w:t>
      </w:r>
    </w:p>
    <w:p>
      <w:pPr>
        <w:jc w:val="center"/>
        <w:rPr>
          <w:rFonts w:ascii="方正小标宋简体" w:hAnsi="黑体" w:eastAsia="方正小标宋简体"/>
          <w:sz w:val="36"/>
          <w:szCs w:val="36"/>
        </w:rPr>
      </w:pPr>
      <w:r>
        <w:rPr>
          <w:rFonts w:hint="eastAsia" w:ascii="方正小标宋简体" w:hAnsi="黑体" w:eastAsia="方正小标宋简体"/>
          <w:sz w:val="36"/>
          <w:szCs w:val="36"/>
        </w:rPr>
        <w:t>合理布局规定（征求意见稿）》</w:t>
      </w:r>
      <w:r>
        <w:rPr>
          <w:rFonts w:hint="eastAsia" w:ascii="方正小标宋简体" w:hAnsi="黑体" w:eastAsia="方正小标宋简体"/>
          <w:sz w:val="36"/>
          <w:szCs w:val="36"/>
          <w:lang w:eastAsia="zh-CN"/>
        </w:rPr>
        <w:t>起草</w:t>
      </w:r>
      <w:r>
        <w:rPr>
          <w:rFonts w:hint="eastAsia" w:ascii="方正小标宋简体" w:hAnsi="黑体" w:eastAsia="方正小标宋简体"/>
          <w:sz w:val="36"/>
          <w:szCs w:val="36"/>
        </w:rPr>
        <w:t>说明</w:t>
      </w:r>
      <w:bookmarkStart w:id="0" w:name="_GoBack"/>
      <w:bookmarkEnd w:id="0"/>
    </w:p>
    <w:p>
      <w:pPr>
        <w:pStyle w:val="9"/>
        <w:ind w:left="720" w:firstLine="0" w:firstLineChars="0"/>
        <w:jc w:val="left"/>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制定背景</w:t>
      </w:r>
    </w:p>
    <w:p>
      <w:pPr>
        <w:pStyle w:val="9"/>
        <w:ind w:firstLine="640"/>
        <w:rPr>
          <w:rFonts w:ascii="仿宋_GB2312" w:hAnsi="仿宋" w:eastAsia="仿宋_GB2312"/>
          <w:sz w:val="32"/>
          <w:szCs w:val="32"/>
        </w:rPr>
      </w:pPr>
      <w:r>
        <w:rPr>
          <w:rFonts w:hint="eastAsia" w:ascii="仿宋_GB2312" w:hAnsi="仿宋" w:eastAsia="仿宋_GB2312"/>
          <w:sz w:val="32"/>
          <w:szCs w:val="32"/>
        </w:rPr>
        <w:t>为进一步落实《国务院办公厅关于服务“六稳”“六保”进一步做好“放管服”改革有关工作的意见》，全面</w:t>
      </w:r>
      <w:r>
        <w:rPr>
          <w:rFonts w:ascii="仿宋_GB2312" w:hAnsi="仿宋" w:eastAsia="仿宋_GB2312"/>
          <w:sz w:val="32"/>
          <w:szCs w:val="32"/>
        </w:rPr>
        <w:t>贯彻</w:t>
      </w:r>
      <w:r>
        <w:rPr>
          <w:rFonts w:hint="eastAsia" w:ascii="仿宋_GB2312" w:hAnsi="仿宋" w:eastAsia="仿宋_GB2312"/>
          <w:sz w:val="32"/>
          <w:szCs w:val="32"/>
        </w:rPr>
        <w:t>国务院</w:t>
      </w:r>
      <w:r>
        <w:rPr>
          <w:rFonts w:ascii="仿宋_GB2312" w:hAnsi="仿宋" w:eastAsia="仿宋_GB2312"/>
          <w:sz w:val="32"/>
          <w:szCs w:val="32"/>
        </w:rPr>
        <w:t>决策部署</w:t>
      </w:r>
      <w:r>
        <w:rPr>
          <w:rFonts w:hint="eastAsia" w:ascii="仿宋_GB2312" w:hAnsi="仿宋" w:eastAsia="仿宋_GB2312"/>
          <w:sz w:val="32"/>
          <w:szCs w:val="32"/>
        </w:rPr>
        <w:t>及</w:t>
      </w:r>
      <w:r>
        <w:rPr>
          <w:rFonts w:ascii="仿宋_GB2312" w:hAnsi="仿宋" w:eastAsia="仿宋_GB2312"/>
          <w:sz w:val="32"/>
          <w:szCs w:val="32"/>
        </w:rPr>
        <w:t>国家烟草专卖局工作要求，</w:t>
      </w:r>
      <w:r>
        <w:rPr>
          <w:rFonts w:hint="eastAsia" w:ascii="仿宋_GB2312" w:hAnsi="仿宋" w:eastAsia="仿宋_GB2312"/>
          <w:sz w:val="32"/>
          <w:szCs w:val="32"/>
        </w:rPr>
        <w:t>立足新发展阶段、贯彻新发展理念、构建新发展格局，着力促进要素资源高效配置，以打造</w:t>
      </w:r>
      <w:r>
        <w:rPr>
          <w:rFonts w:hint="eastAsia" w:ascii="仿宋_GB2312" w:hAnsi="仿宋" w:eastAsia="仿宋_GB2312"/>
          <w:sz w:val="32"/>
          <w:szCs w:val="32"/>
          <w:lang w:eastAsia="zh-CN"/>
        </w:rPr>
        <w:t>瓦房店市</w:t>
      </w:r>
      <w:r>
        <w:rPr>
          <w:rFonts w:hint="eastAsia" w:ascii="仿宋_GB2312" w:hAnsi="仿宋" w:eastAsia="仿宋_GB2312"/>
          <w:sz w:val="32"/>
          <w:szCs w:val="32"/>
        </w:rPr>
        <w:t>卷烟市场化法治化营商环境为</w:t>
      </w:r>
      <w:r>
        <w:rPr>
          <w:rFonts w:ascii="仿宋_GB2312" w:hAnsi="仿宋" w:eastAsia="仿宋_GB2312"/>
          <w:sz w:val="32"/>
          <w:szCs w:val="32"/>
        </w:rPr>
        <w:t>核心</w:t>
      </w:r>
      <w:r>
        <w:rPr>
          <w:rFonts w:hint="eastAsia" w:ascii="仿宋_GB2312" w:hAnsi="仿宋" w:eastAsia="仿宋_GB2312"/>
          <w:sz w:val="32"/>
          <w:szCs w:val="32"/>
        </w:rPr>
        <w:t>，切实维护公平竞争，建设一流的卷烟营商环境，推进治理体系和治理能力现代化，推动</w:t>
      </w:r>
      <w:r>
        <w:rPr>
          <w:rFonts w:hint="eastAsia" w:ascii="仿宋_GB2312" w:hAnsi="仿宋" w:eastAsia="仿宋_GB2312"/>
          <w:sz w:val="32"/>
          <w:szCs w:val="32"/>
          <w:lang w:eastAsia="zh-CN"/>
        </w:rPr>
        <w:t>瓦房店市</w:t>
      </w:r>
      <w:r>
        <w:rPr>
          <w:rFonts w:hint="eastAsia" w:ascii="仿宋_GB2312" w:hAnsi="仿宋" w:eastAsia="仿宋_GB2312"/>
          <w:sz w:val="32"/>
          <w:szCs w:val="32"/>
        </w:rPr>
        <w:t>卷烟市场持续健康发展。</w:t>
      </w:r>
    </w:p>
    <w:p>
      <w:pPr>
        <w:pStyle w:val="9"/>
        <w:ind w:firstLine="640"/>
        <w:rPr>
          <w:rFonts w:ascii="仿宋_GB2312" w:hAnsi="仿宋" w:eastAsia="仿宋_GB2312"/>
          <w:sz w:val="32"/>
          <w:szCs w:val="32"/>
        </w:rPr>
      </w:pPr>
      <w:r>
        <w:rPr>
          <w:rFonts w:hint="eastAsia" w:ascii="仿宋_GB2312" w:hAnsi="仿宋" w:eastAsia="仿宋_GB2312"/>
          <w:sz w:val="32"/>
          <w:szCs w:val="32"/>
        </w:rPr>
        <w:t>近年来</w:t>
      </w:r>
      <w:r>
        <w:rPr>
          <w:rFonts w:ascii="仿宋_GB2312" w:hAnsi="仿宋" w:eastAsia="仿宋_GB2312"/>
          <w:sz w:val="32"/>
          <w:szCs w:val="32"/>
        </w:rPr>
        <w:t>，</w:t>
      </w:r>
      <w:r>
        <w:rPr>
          <w:rFonts w:hint="eastAsia" w:ascii="仿宋_GB2312" w:hAnsi="仿宋" w:eastAsia="仿宋_GB2312"/>
          <w:sz w:val="32"/>
          <w:szCs w:val="32"/>
        </w:rPr>
        <w:t>随着大连</w:t>
      </w:r>
      <w:r>
        <w:rPr>
          <w:rFonts w:hint="eastAsia" w:ascii="仿宋_GB2312" w:hAnsi="仿宋" w:eastAsia="仿宋_GB2312"/>
          <w:sz w:val="32"/>
          <w:szCs w:val="32"/>
          <w:lang w:eastAsia="zh-CN"/>
        </w:rPr>
        <w:t>地区</w:t>
      </w:r>
      <w:r>
        <w:rPr>
          <w:rFonts w:hint="eastAsia" w:ascii="仿宋_GB2312" w:hAnsi="仿宋" w:eastAsia="仿宋_GB2312"/>
          <w:sz w:val="32"/>
          <w:szCs w:val="32"/>
        </w:rPr>
        <w:t>经济社会飞速发展，城镇化水平的不断提高，卷烟经营盈利水平呈现较快增长，辖区烟草专卖零售许可证数量激增，许可证增长比率与常住人口增长比率明显失衡，极易形成无序、恶性竞争，也不利于卷烟货源这一有限资源的合理分配，影响了卷烟零售行业的高质量发展。为保持零售户数量稳定，防止零售户无序过快增长，全面贯彻落实国家烟草专卖局关于加强烟草制品零售点合理布局的相关要求，持续优化辖区烟草制品零售点合理布局，进一步稳定辖区烟草制品零售点总量，控制烟草消费、保障人民健康，维护烟草制品经营者和消费者合法权益，切实维护卷烟市场经营秩序，</w:t>
      </w:r>
      <w:r>
        <w:rPr>
          <w:rFonts w:hint="eastAsia" w:ascii="仿宋_GB2312" w:hAnsi="仿宋" w:eastAsia="仿宋_GB2312"/>
          <w:sz w:val="32"/>
          <w:szCs w:val="32"/>
          <w:lang w:eastAsia="zh-CN"/>
        </w:rPr>
        <w:t>瓦房店市</w:t>
      </w:r>
      <w:r>
        <w:rPr>
          <w:rFonts w:hint="eastAsia" w:ascii="仿宋_GB2312" w:hAnsi="仿宋" w:eastAsia="仿宋_GB2312"/>
          <w:sz w:val="32"/>
          <w:szCs w:val="32"/>
        </w:rPr>
        <w:t>烟草专卖局主动适应形势变化，根据《烟草专卖许可证管理办法》第十五条第二款规定，制定了《</w:t>
      </w:r>
      <w:r>
        <w:rPr>
          <w:rFonts w:hint="eastAsia" w:ascii="仿宋_GB2312" w:hAnsi="仿宋" w:eastAsia="仿宋_GB2312"/>
          <w:sz w:val="32"/>
          <w:szCs w:val="32"/>
          <w:lang w:eastAsia="zh-CN"/>
        </w:rPr>
        <w:t>瓦房店市</w:t>
      </w:r>
      <w:r>
        <w:rPr>
          <w:rFonts w:hint="eastAsia" w:ascii="仿宋_GB2312" w:hAnsi="仿宋" w:eastAsia="仿宋_GB2312"/>
          <w:sz w:val="32"/>
          <w:szCs w:val="32"/>
        </w:rPr>
        <w:t xml:space="preserve">烟草专卖局烟草制品零售点合理布局规定（征求意见稿）》。 </w:t>
      </w:r>
    </w:p>
    <w:p>
      <w:pPr>
        <w:ind w:firstLine="640" w:firstLineChars="200"/>
        <w:jc w:val="left"/>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制定依据</w:t>
      </w:r>
    </w:p>
    <w:p>
      <w:pPr>
        <w:pStyle w:val="9"/>
        <w:ind w:firstLine="640"/>
        <w:jc w:val="left"/>
        <w:rPr>
          <w:rFonts w:ascii="仿宋_GB2312" w:hAnsi="仿宋" w:eastAsia="仿宋_GB2312"/>
          <w:sz w:val="32"/>
          <w:szCs w:val="32"/>
        </w:rPr>
      </w:pPr>
      <w:r>
        <w:rPr>
          <w:rFonts w:hint="eastAsia" w:ascii="仿宋_GB2312" w:hAnsi="仿宋" w:eastAsia="仿宋_GB2312"/>
          <w:sz w:val="32"/>
          <w:szCs w:val="32"/>
        </w:rPr>
        <w:t>烟草制品零售点合理布局规定是《中华人民共和国烟草专卖法实施条例》和《烟草专卖许可证管理办法》赋予县级以上烟草专卖局的法定职权，我局严格依法履责，</w:t>
      </w:r>
      <w:r>
        <w:rPr>
          <w:rFonts w:hint="eastAsia" w:ascii="仿宋_GB2312" w:hAnsi="微软雅黑" w:eastAsia="仿宋_GB2312"/>
          <w:color w:val="000000"/>
          <w:kern w:val="0"/>
          <w:sz w:val="32"/>
          <w:szCs w:val="32"/>
        </w:rPr>
        <w:t>依据《中华人民共和国行政许可法》《中华人民共和国烟草专卖法》《中华人民共和国未成年人保护法》《中华人民共和国烟草专卖法实施条例》《烟草专卖许可证管理办法》《大连市</w:t>
      </w:r>
      <w:r>
        <w:rPr>
          <w:rFonts w:ascii="仿宋_GB2312" w:hAnsi="微软雅黑" w:eastAsia="仿宋_GB2312"/>
          <w:color w:val="000000"/>
          <w:kern w:val="0"/>
          <w:sz w:val="32"/>
          <w:szCs w:val="32"/>
        </w:rPr>
        <w:t>控制吸烟条例》</w:t>
      </w:r>
      <w:r>
        <w:rPr>
          <w:rFonts w:hint="eastAsia" w:ascii="仿宋_GB2312" w:hAnsi="微软雅黑" w:eastAsia="仿宋_GB2312"/>
          <w:color w:val="000000"/>
          <w:kern w:val="0"/>
          <w:sz w:val="32"/>
          <w:szCs w:val="32"/>
        </w:rPr>
        <w:t>《烟草专卖许可证管理办法实施细则》</w:t>
      </w:r>
      <w:r>
        <w:rPr>
          <w:rFonts w:hint="eastAsia" w:ascii="仿宋_GB2312" w:hAnsi="仿宋" w:eastAsia="仿宋_GB2312"/>
          <w:sz w:val="32"/>
          <w:szCs w:val="32"/>
        </w:rPr>
        <w:t>等法律法规规章的规定，结合辖区人口数量、交通状况、经济发展水平、消费能力、方便满足消费者需求等实际情况，制定本规定。</w:t>
      </w:r>
    </w:p>
    <w:p>
      <w:pPr>
        <w:ind w:firstLine="640" w:firstLineChars="200"/>
        <w:jc w:val="left"/>
        <w:rPr>
          <w:rFonts w:ascii="黑体" w:hAnsi="黑体" w:eastAsia="黑体"/>
          <w:sz w:val="32"/>
          <w:szCs w:val="32"/>
        </w:rPr>
      </w:pPr>
      <w:r>
        <w:rPr>
          <w:rFonts w:hint="eastAsia" w:ascii="黑体" w:hAnsi="黑体" w:eastAsia="黑体"/>
          <w:sz w:val="32"/>
          <w:szCs w:val="32"/>
        </w:rPr>
        <w:t>三、制定原则</w:t>
      </w:r>
    </w:p>
    <w:p>
      <w:pPr>
        <w:spacing w:line="590" w:lineRule="exact"/>
        <w:ind w:firstLine="640" w:firstLineChars="200"/>
        <w:rPr>
          <w:rFonts w:ascii="仿宋_GB2312" w:eastAsia="仿宋_GB2312"/>
          <w:sz w:val="32"/>
          <w:szCs w:val="32"/>
          <w:lang w:val="zh-CN"/>
        </w:rPr>
      </w:pPr>
      <w:r>
        <w:rPr>
          <w:rFonts w:hint="eastAsia" w:ascii="楷体_GB2312" w:hAnsi="宋体" w:eastAsia="楷体_GB2312"/>
          <w:sz w:val="32"/>
          <w:szCs w:val="32"/>
        </w:rPr>
        <w:t>（一）依法行政原则。</w:t>
      </w:r>
      <w:r>
        <w:rPr>
          <w:rFonts w:hint="eastAsia" w:ascii="仿宋_GB2312" w:eastAsia="仿宋_GB2312"/>
          <w:sz w:val="32"/>
          <w:szCs w:val="32"/>
          <w:lang w:val="zh-CN"/>
        </w:rPr>
        <w:t>烟草制品零售点合理布局规定以法律法规规章和国家烟草专卖局规范性文件为依据，保证符合法定条件的行政相对人有依法取得烟草专卖零售许可证的平等权利。</w:t>
      </w:r>
    </w:p>
    <w:p>
      <w:pPr>
        <w:spacing w:line="590" w:lineRule="exact"/>
        <w:ind w:firstLine="640" w:firstLineChars="200"/>
        <w:rPr>
          <w:rFonts w:ascii="楷体_GB2312" w:hAnsi="宋体" w:eastAsia="楷体_GB2312"/>
          <w:sz w:val="32"/>
          <w:szCs w:val="32"/>
        </w:rPr>
      </w:pPr>
      <w:r>
        <w:rPr>
          <w:rFonts w:hint="eastAsia" w:ascii="楷体_GB2312" w:hAnsi="宋体" w:eastAsia="楷体_GB2312"/>
          <w:sz w:val="32"/>
          <w:szCs w:val="32"/>
        </w:rPr>
        <w:t>（二）科学规划原则。</w:t>
      </w:r>
      <w:r>
        <w:rPr>
          <w:rFonts w:hint="eastAsia" w:ascii="仿宋_GB2312" w:eastAsia="仿宋_GB2312"/>
          <w:sz w:val="32"/>
          <w:szCs w:val="32"/>
          <w:lang w:val="zh-CN"/>
        </w:rPr>
        <w:t>烟草制品零售点合理布局规定</w:t>
      </w:r>
      <w:r>
        <w:rPr>
          <w:rFonts w:hint="eastAsia" w:ascii="仿宋_GB2312" w:hAnsi="黑体" w:eastAsia="仿宋_GB2312"/>
          <w:kern w:val="0"/>
          <w:sz w:val="32"/>
          <w:szCs w:val="32"/>
        </w:rPr>
        <w:t>采取“容量管理+间距调整”的模式，以街道、乡镇组合为最小市场单元，设定单元内的零售点数量指导数并进行动态调整。</w:t>
      </w:r>
      <w:r>
        <w:rPr>
          <w:rFonts w:hint="eastAsia" w:ascii="仿宋_GB2312" w:hAnsi="宋体" w:eastAsia="仿宋_GB2312"/>
          <w:sz w:val="32"/>
          <w:szCs w:val="32"/>
        </w:rPr>
        <w:t>既便于消费者购买，又保护零售户经营利益，限制零售点之间无序竞争。</w:t>
      </w:r>
    </w:p>
    <w:p>
      <w:pPr>
        <w:autoSpaceDE w:val="0"/>
        <w:autoSpaceDN w:val="0"/>
        <w:adjustRightInd w:val="0"/>
        <w:spacing w:line="590" w:lineRule="exact"/>
        <w:ind w:firstLine="660"/>
        <w:rPr>
          <w:rFonts w:ascii="楷体_GB2312" w:eastAsia="楷体_GB2312"/>
          <w:sz w:val="32"/>
          <w:szCs w:val="32"/>
          <w:lang w:val="zh-CN"/>
        </w:rPr>
      </w:pPr>
      <w:r>
        <w:rPr>
          <w:rFonts w:hint="eastAsia" w:ascii="楷体_GB2312" w:eastAsia="楷体_GB2312"/>
          <w:sz w:val="32"/>
          <w:szCs w:val="32"/>
          <w:lang w:val="zh-CN"/>
        </w:rPr>
        <w:t>（三）服务社会原则。</w:t>
      </w:r>
      <w:r>
        <w:rPr>
          <w:rFonts w:hint="eastAsia" w:ascii="仿宋_GB2312" w:eastAsia="仿宋_GB2312"/>
          <w:sz w:val="32"/>
          <w:szCs w:val="32"/>
          <w:lang w:val="zh-CN"/>
        </w:rPr>
        <w:t>烟草制品零售点合理布局规定以服务社会为主，统筹考虑控烟履约、未成年人保护、便利消费者和零售户经营利益等因素，关注民生，服务就业与稳定，对社会弱势群体予以重点帮扶和政策倾斜，提高政务服务水平，不断提升行政服务效能，方便群众办事。</w:t>
      </w:r>
    </w:p>
    <w:p>
      <w:pPr>
        <w:autoSpaceDE w:val="0"/>
        <w:autoSpaceDN w:val="0"/>
        <w:adjustRightInd w:val="0"/>
        <w:spacing w:line="590" w:lineRule="exact"/>
        <w:ind w:firstLine="660"/>
        <w:rPr>
          <w:rFonts w:ascii="楷体_GB2312" w:eastAsia="楷体_GB2312"/>
          <w:sz w:val="32"/>
          <w:szCs w:val="32"/>
          <w:lang w:val="zh-CN"/>
        </w:rPr>
      </w:pPr>
      <w:r>
        <w:rPr>
          <w:rFonts w:hint="eastAsia" w:ascii="楷体_GB2312" w:eastAsia="楷体_GB2312"/>
          <w:sz w:val="32"/>
          <w:szCs w:val="32"/>
          <w:lang w:val="zh-CN"/>
        </w:rPr>
        <w:t>（四）均衡发展原则。</w:t>
      </w:r>
      <w:r>
        <w:rPr>
          <w:rFonts w:hint="eastAsia" w:ascii="仿宋_GB2312" w:eastAsia="仿宋_GB2312"/>
          <w:sz w:val="32"/>
          <w:szCs w:val="32"/>
          <w:lang w:val="zh-CN"/>
        </w:rPr>
        <w:t>烟草制品零售点合理布局规定坚持均衡发展，保持零售点数量与烟草制品消费需求相适应、零售点分布与卷烟市场区位相协调，维持零售户数量的合理稳定，在便利消费的同时坚持零售点数量稍紧平衡。</w:t>
      </w:r>
    </w:p>
    <w:p>
      <w:pPr>
        <w:ind w:firstLine="640" w:firstLineChars="200"/>
        <w:jc w:val="left"/>
        <w:rPr>
          <w:rFonts w:ascii="黑体" w:hAnsi="黑体" w:eastAsia="黑体"/>
          <w:sz w:val="32"/>
          <w:szCs w:val="32"/>
        </w:rPr>
      </w:pPr>
      <w:r>
        <w:rPr>
          <w:rFonts w:hint="eastAsia" w:ascii="黑体" w:hAnsi="黑体" w:eastAsia="黑体"/>
          <w:sz w:val="32"/>
          <w:szCs w:val="32"/>
        </w:rPr>
        <w:t>四、主要内容</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本规定全文共计二十七条：</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（一）第一条 总则</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（二）第二条 适用范围</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（三）第三条 烟草制品零售点的定义</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（四）第四条 合理布局的定义</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（五）第五条 合理布局规划的原则</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（六）第六条 合理布局规划的模式</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（七）第七条 指导数计算及发布规则</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（八）第八条 烟草制品零售点集中度划分标准</w:t>
      </w:r>
      <w:r>
        <w:rPr>
          <w:rFonts w:ascii="仿宋_GB2312" w:eastAsia="仿宋_GB2312"/>
          <w:sz w:val="32"/>
          <w:szCs w:val="32"/>
          <w:lang w:val="zh-CN"/>
        </w:rPr>
        <w:t>及发布</w:t>
      </w:r>
      <w:r>
        <w:rPr>
          <w:rFonts w:hint="eastAsia" w:ascii="仿宋_GB2312" w:eastAsia="仿宋_GB2312"/>
          <w:sz w:val="32"/>
          <w:szCs w:val="32"/>
          <w:lang w:val="zh-CN"/>
        </w:rPr>
        <w:t>规则</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（九）第九条 受理及</w:t>
      </w:r>
      <w:r>
        <w:rPr>
          <w:rFonts w:ascii="仿宋_GB2312" w:eastAsia="仿宋_GB2312"/>
          <w:sz w:val="32"/>
          <w:szCs w:val="32"/>
          <w:lang w:val="zh-CN"/>
        </w:rPr>
        <w:t>审批</w:t>
      </w:r>
      <w:r>
        <w:rPr>
          <w:rFonts w:hint="eastAsia" w:ascii="仿宋_GB2312" w:eastAsia="仿宋_GB2312"/>
          <w:sz w:val="32"/>
          <w:szCs w:val="32"/>
          <w:lang w:val="zh-CN"/>
        </w:rPr>
        <w:t>排序原则</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（十）第十条 烟草制品零售点间距标准</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（十一）第十一条 不予核发</w:t>
      </w:r>
      <w:r>
        <w:rPr>
          <w:rFonts w:hint="eastAsia" w:ascii="仿宋_GB2312" w:hAnsi="微软雅黑" w:eastAsia="仿宋_GB2312"/>
          <w:color w:val="000000"/>
          <w:kern w:val="0"/>
          <w:sz w:val="32"/>
          <w:szCs w:val="32"/>
        </w:rPr>
        <w:t>烟草专卖零售许可证</w:t>
      </w:r>
      <w:r>
        <w:rPr>
          <w:rFonts w:hint="eastAsia" w:ascii="仿宋_GB2312" w:eastAsia="仿宋_GB2312"/>
          <w:sz w:val="32"/>
          <w:szCs w:val="32"/>
          <w:lang w:val="zh-CN"/>
        </w:rPr>
        <w:t>的相关情形</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 xml:space="preserve">（十二）第十二条 </w:t>
      </w:r>
      <w:r>
        <w:rPr>
          <w:rFonts w:hint="eastAsia" w:ascii="仿宋_GB2312" w:hAnsi="微软雅黑" w:eastAsia="仿宋_GB2312"/>
          <w:color w:val="000000"/>
          <w:kern w:val="0"/>
          <w:sz w:val="32"/>
          <w:szCs w:val="32"/>
        </w:rPr>
        <w:t>不予发放烟草专卖零售许可证</w:t>
      </w:r>
      <w:r>
        <w:rPr>
          <w:rFonts w:hint="eastAsia" w:ascii="仿宋_GB2312" w:eastAsia="仿宋_GB2312"/>
          <w:sz w:val="32"/>
          <w:szCs w:val="32"/>
          <w:lang w:val="zh-CN"/>
        </w:rPr>
        <w:t>的相关情形</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 xml:space="preserve">（十三）第十三条 </w:t>
      </w:r>
      <w:r>
        <w:rPr>
          <w:rFonts w:hint="eastAsia" w:ascii="仿宋_GB2312" w:hAnsi="微软雅黑" w:eastAsia="仿宋_GB2312"/>
          <w:color w:val="000000"/>
          <w:kern w:val="0"/>
          <w:sz w:val="32"/>
          <w:szCs w:val="32"/>
        </w:rPr>
        <w:t>有效期届满后不予延续</w:t>
      </w:r>
      <w:r>
        <w:rPr>
          <w:rFonts w:hint="eastAsia" w:ascii="仿宋_GB2312" w:eastAsia="仿宋_GB2312"/>
          <w:sz w:val="32"/>
          <w:szCs w:val="32"/>
          <w:lang w:val="zh-CN"/>
        </w:rPr>
        <w:t>的相关情形</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（十四）第十四条 不受指导数和距离限制的相关情形</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（十五）第十五条 不受指导数限制但受距离限制的相关情形</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（十六）第十六条 不受指导数限制且享受间距</w:t>
      </w:r>
      <w:r>
        <w:rPr>
          <w:rFonts w:hint="eastAsia" w:ascii="仿宋_GB2312" w:hAnsi="微软雅黑" w:eastAsia="仿宋_GB2312"/>
          <w:color w:val="000000"/>
          <w:kern w:val="0"/>
          <w:sz w:val="32"/>
          <w:szCs w:val="32"/>
        </w:rPr>
        <w:t>限制标准</w:t>
      </w:r>
      <w:r>
        <w:rPr>
          <w:rFonts w:hint="eastAsia" w:ascii="仿宋_GB2312" w:eastAsia="仿宋_GB2312"/>
          <w:sz w:val="32"/>
          <w:szCs w:val="32"/>
          <w:lang w:val="zh-CN"/>
        </w:rPr>
        <w:t>减半的相关情形</w:t>
      </w:r>
    </w:p>
    <w:p>
      <w:pPr>
        <w:widowControl/>
        <w:shd w:val="clear" w:color="auto" w:fill="FFFFFF"/>
        <w:ind w:firstLine="640" w:firstLineChars="200"/>
        <w:rPr>
          <w:rFonts w:ascii="黑体" w:hAnsi="黑体" w:eastAsia="黑体" w:cs="Times New Roman"/>
          <w:color w:val="000000"/>
          <w:sz w:val="32"/>
          <w:szCs w:val="32"/>
        </w:rPr>
      </w:pPr>
      <w:r>
        <w:rPr>
          <w:rFonts w:hint="eastAsia" w:ascii="仿宋_GB2312" w:eastAsia="仿宋_GB2312"/>
          <w:sz w:val="32"/>
          <w:szCs w:val="32"/>
          <w:lang w:val="zh-CN"/>
        </w:rPr>
        <w:t>（十七）第十七条 已合法持有烟草专卖零售许可证的零售户不受所在地烟草制品零售点合理布局规划调整影响的</w:t>
      </w:r>
      <w:r>
        <w:rPr>
          <w:rFonts w:ascii="仿宋_GB2312" w:eastAsia="仿宋_GB2312"/>
          <w:sz w:val="32"/>
          <w:szCs w:val="32"/>
          <w:lang w:val="zh-CN"/>
        </w:rPr>
        <w:t>规定</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（十八）第十八条、第十九条、第二十条、第二十三条第二十四条 相关名词定义解释</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（十九）第二十一条 最短可通行间距测量标准</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（二十）第二十二条 零售点与中小学、幼儿园间距测量标准</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（二十一）第二十五条 法律救济</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（二十二）第二十六条 解释权</w:t>
      </w:r>
    </w:p>
    <w:p>
      <w:pPr>
        <w:autoSpaceDE w:val="0"/>
        <w:autoSpaceDN w:val="0"/>
        <w:adjustRightInd w:val="0"/>
        <w:spacing w:line="590" w:lineRule="exact"/>
        <w:ind w:firstLine="660"/>
        <w:rPr>
          <w:rFonts w:ascii="仿宋_GB2312" w:eastAsia="仿宋_GB2312"/>
          <w:sz w:val="32"/>
          <w:szCs w:val="32"/>
          <w:lang w:val="zh-CN"/>
        </w:rPr>
      </w:pPr>
      <w:r>
        <w:rPr>
          <w:rFonts w:hint="eastAsia" w:ascii="仿宋_GB2312" w:eastAsia="仿宋_GB2312"/>
          <w:sz w:val="32"/>
          <w:szCs w:val="32"/>
          <w:lang w:val="zh-CN"/>
        </w:rPr>
        <w:t>（二十三）第二十七条 实施及废止</w:t>
      </w:r>
    </w:p>
    <w:p>
      <w:pPr>
        <w:pStyle w:val="9"/>
        <w:ind w:firstLine="640"/>
        <w:jc w:val="left"/>
        <w:rPr>
          <w:rFonts w:ascii="仿宋_GB2312" w:hAnsi="仿宋" w:eastAsia="仿宋_GB2312"/>
          <w:sz w:val="32"/>
          <w:szCs w:val="32"/>
        </w:rPr>
      </w:pPr>
    </w:p>
    <w:p>
      <w:pPr>
        <w:pStyle w:val="9"/>
        <w:ind w:firstLine="640"/>
        <w:jc w:val="left"/>
        <w:rPr>
          <w:rFonts w:ascii="仿宋_GB2312" w:hAnsi="仿宋" w:eastAsia="仿宋_GB2312"/>
          <w:sz w:val="32"/>
          <w:szCs w:val="32"/>
        </w:rPr>
      </w:pPr>
    </w:p>
    <w:p>
      <w:pPr>
        <w:pStyle w:val="9"/>
        <w:ind w:firstLine="640"/>
        <w:jc w:val="left"/>
        <w:rPr>
          <w:rFonts w:ascii="仿宋_GB2312" w:hAnsi="仿宋" w:eastAsia="仿宋_GB2312"/>
          <w:sz w:val="32"/>
          <w:szCs w:val="32"/>
        </w:rPr>
      </w:pPr>
    </w:p>
    <w:p>
      <w:pPr>
        <w:pStyle w:val="9"/>
        <w:ind w:firstLine="640"/>
        <w:jc w:val="left"/>
        <w:rPr>
          <w:rFonts w:ascii="仿宋_GB2312" w:hAnsi="仿宋" w:eastAsia="仿宋_GB2312"/>
          <w:sz w:val="32"/>
          <w:szCs w:val="32"/>
        </w:rPr>
      </w:pPr>
    </w:p>
    <w:p>
      <w:pPr>
        <w:pStyle w:val="9"/>
        <w:ind w:firstLine="848" w:firstLineChars="265"/>
        <w:jc w:val="right"/>
        <w:rPr>
          <w:rFonts w:ascii="仿宋_GB2312" w:hAnsi="仿宋" w:eastAsia="仿宋_GB2312"/>
          <w:sz w:val="32"/>
          <w:szCs w:val="32"/>
        </w:rPr>
      </w:pPr>
      <w:r>
        <w:rPr>
          <w:rFonts w:hint="eastAsia" w:ascii="仿宋_GB2312" w:hAnsi="仿宋" w:eastAsia="仿宋_GB2312"/>
          <w:sz w:val="32"/>
          <w:szCs w:val="32"/>
        </w:rPr>
        <w:t xml:space="preserve">                      </w:t>
      </w:r>
      <w:r>
        <w:rPr>
          <w:rFonts w:hint="eastAsia" w:ascii="仿宋_GB2312" w:hAnsi="仿宋" w:eastAsia="仿宋_GB2312"/>
          <w:sz w:val="32"/>
          <w:szCs w:val="32"/>
          <w:lang w:eastAsia="zh-CN"/>
        </w:rPr>
        <w:t>瓦房店市</w:t>
      </w:r>
      <w:r>
        <w:rPr>
          <w:rFonts w:hint="eastAsia" w:ascii="仿宋_GB2312" w:hAnsi="仿宋" w:eastAsia="仿宋_GB2312"/>
          <w:sz w:val="32"/>
          <w:szCs w:val="32"/>
        </w:rPr>
        <w:t>烟草专卖局</w:t>
      </w:r>
    </w:p>
    <w:p>
      <w:pPr>
        <w:ind w:firstLine="5699" w:firstLineChars="1781"/>
        <w:jc w:val="left"/>
        <w:rPr>
          <w:rFonts w:ascii="仿宋_GB2312" w:hAnsi="仿宋" w:eastAsia="仿宋_GB2312"/>
          <w:sz w:val="32"/>
          <w:szCs w:val="32"/>
        </w:rPr>
      </w:pPr>
      <w:r>
        <w:rPr>
          <w:rFonts w:ascii="仿宋_GB2312" w:hAnsi="仿宋" w:eastAsia="仿宋_GB2312"/>
          <w:sz w:val="32"/>
          <w:szCs w:val="32"/>
        </w:rPr>
        <w:t>20</w:t>
      </w:r>
      <w:r>
        <w:rPr>
          <w:rFonts w:hint="eastAsia" w:ascii="仿宋_GB2312" w:hAnsi="仿宋" w:eastAsia="仿宋_GB2312"/>
          <w:sz w:val="32"/>
          <w:szCs w:val="32"/>
        </w:rPr>
        <w:t>2</w:t>
      </w:r>
      <w:r>
        <w:rPr>
          <w:rFonts w:ascii="仿宋_GB2312" w:hAnsi="仿宋" w:eastAsia="仿宋_GB2312"/>
          <w:sz w:val="32"/>
          <w:szCs w:val="32"/>
        </w:rPr>
        <w:t>3年1月</w:t>
      </w:r>
      <w:r>
        <w:rPr>
          <w:rFonts w:hint="eastAsia" w:ascii="仿宋_GB2312" w:hAnsi="仿宋" w:eastAsia="仿宋_GB2312"/>
          <w:sz w:val="32"/>
          <w:szCs w:val="32"/>
          <w:lang w:val="en-US" w:eastAsia="zh-CN"/>
        </w:rPr>
        <w:t>17</w:t>
      </w:r>
      <w:r>
        <w:rPr>
          <w:rFonts w:ascii="仿宋_GB2312" w:hAnsi="仿宋" w:eastAsia="仿宋_GB231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仿宋">
    <w:altName w:val="方正仿宋_GBK"/>
    <w:panose1 w:val="00000000000000000000"/>
    <w:charset w:val="86"/>
    <w:family w:val="modern"/>
    <w:pitch w:val="default"/>
    <w:sig w:usb0="00000000" w:usb1="00000000" w:usb2="00000016" w:usb3="00000000" w:csb0="00040001" w:csb1="00000000"/>
  </w:font>
  <w:font w:name="微软雅黑">
    <w:altName w:val="方正黑体_GBK"/>
    <w:panose1 w:val="00000000000000000000"/>
    <w:charset w:val="86"/>
    <w:family w:val="swiss"/>
    <w:pitch w:val="default"/>
    <w:sig w:usb0="00000000" w:usb1="00000000" w:usb2="00000016" w:usb3="00000000" w:csb0="0004001F"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596"/>
    <w:rsid w:val="00040400"/>
    <w:rsid w:val="00043E77"/>
    <w:rsid w:val="00044596"/>
    <w:rsid w:val="0011344E"/>
    <w:rsid w:val="001612D6"/>
    <w:rsid w:val="0017362D"/>
    <w:rsid w:val="001824A6"/>
    <w:rsid w:val="001901B0"/>
    <w:rsid w:val="001E5800"/>
    <w:rsid w:val="0020780E"/>
    <w:rsid w:val="00217ACF"/>
    <w:rsid w:val="00236548"/>
    <w:rsid w:val="002A254E"/>
    <w:rsid w:val="00491890"/>
    <w:rsid w:val="00497838"/>
    <w:rsid w:val="004C492E"/>
    <w:rsid w:val="00554252"/>
    <w:rsid w:val="00592029"/>
    <w:rsid w:val="005F1A93"/>
    <w:rsid w:val="006366E6"/>
    <w:rsid w:val="00681767"/>
    <w:rsid w:val="006B5033"/>
    <w:rsid w:val="00842F55"/>
    <w:rsid w:val="008D33F0"/>
    <w:rsid w:val="0091699E"/>
    <w:rsid w:val="00973ADC"/>
    <w:rsid w:val="009E6A34"/>
    <w:rsid w:val="009F5A4D"/>
    <w:rsid w:val="00AA50BA"/>
    <w:rsid w:val="00AC1F5E"/>
    <w:rsid w:val="00B25681"/>
    <w:rsid w:val="00BB1F27"/>
    <w:rsid w:val="00BE7727"/>
    <w:rsid w:val="00C210F0"/>
    <w:rsid w:val="00C34844"/>
    <w:rsid w:val="00CA43CD"/>
    <w:rsid w:val="00CB6271"/>
    <w:rsid w:val="00CE39BD"/>
    <w:rsid w:val="00D57036"/>
    <w:rsid w:val="00D71BD2"/>
    <w:rsid w:val="00DB2FDD"/>
    <w:rsid w:val="00DC489B"/>
    <w:rsid w:val="00E10D7C"/>
    <w:rsid w:val="00E241B3"/>
    <w:rsid w:val="00EB2A34"/>
    <w:rsid w:val="00EF4C34"/>
    <w:rsid w:val="00F61561"/>
    <w:rsid w:val="00F64BD3"/>
    <w:rsid w:val="00FF05B5"/>
    <w:rsid w:val="1B7AD528"/>
    <w:rsid w:val="76FDB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日期 字符"/>
    <w:basedOn w:val="8"/>
    <w:link w:val="2"/>
    <w:semiHidden/>
    <w:qFormat/>
    <w:uiPriority w:val="99"/>
  </w:style>
  <w:style w:type="character" w:customStyle="1" w:styleId="11">
    <w:name w:val="批注框文本 字符"/>
    <w:basedOn w:val="8"/>
    <w:link w:val="3"/>
    <w:semiHidden/>
    <w:qFormat/>
    <w:uiPriority w:val="99"/>
    <w:rPr>
      <w:sz w:val="18"/>
      <w:szCs w:val="18"/>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280</Words>
  <Characters>1599</Characters>
  <Lines>13</Lines>
  <Paragraphs>3</Paragraphs>
  <TotalTime>9</TotalTime>
  <ScaleCrop>false</ScaleCrop>
  <LinksUpToDate>false</LinksUpToDate>
  <CharactersWithSpaces>1876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2022-04-18T00:17:00Z</dcterms:created>
  <dc:creator>方男</dc:creator>
  <cp:lastModifiedBy>dlyc</cp:lastModifiedBy>
  <cp:lastPrinted>2023-01-16T14:41:58Z</cp:lastPrinted>
  <dcterms:modified xsi:type="dcterms:W3CDTF">2023-01-16T15:08:59Z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ies>
</file>