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1000" w:lineRule="exact"/>
        <w:jc w:val="center"/>
        <w:rPr>
          <w:rFonts w:hint="eastAsia" w:eastAsia="华文中宋"/>
          <w:b/>
          <w:bCs/>
          <w:color w:val="FF0000"/>
          <w:w w:val="120"/>
          <w:sz w:val="80"/>
          <w:szCs w:val="80"/>
        </w:rPr>
      </w:pPr>
      <w:r>
        <w:rPr>
          <w:color w:val="FF0000"/>
          <w:sz w:val="20"/>
        </w:rPr>
        <w:pict>
          <v:line id="_x0000_s1026" o:spid="_x0000_s1026" o:spt="20" style="position:absolute;left:0pt;margin-left:-12.1pt;margin-top:27.35pt;height:0pt;width:432pt;z-index:251658240;mso-width-relative:page;mso-height-relative:page;" filled="f" stroked="t" coordsize="21600,21600">
            <v:path arrowok="t"/>
            <v:fill on="f" focussize="0,0"/>
            <v:stroke weight="1.5pt" color="#FF0000"/>
            <v:imagedata o:title=""/>
            <o:lock v:ext="edit" grouping="f" rotation="f" text="f" aspectratio="f"/>
          </v:line>
        </w:pict>
      </w:r>
    </w:p>
    <w:p>
      <w:pPr>
        <w:widowControl/>
        <w:autoSpaceDE w:val="0"/>
        <w:spacing w:line="600" w:lineRule="exact"/>
        <w:jc w:val="center"/>
        <w:rPr>
          <w:rFonts w:ascii="黑体" w:hAnsi="黑体" w:eastAsia="黑体" w:cs="宋体"/>
          <w:b/>
          <w:color w:val="000000" w:themeColor="text1"/>
          <w:kern w:val="0"/>
          <w:sz w:val="44"/>
          <w:szCs w:val="44"/>
          <w14:textFill>
            <w14:solidFill>
              <w14:schemeClr w14:val="tx1"/>
            </w14:solidFill>
          </w14:textFill>
        </w:rPr>
      </w:pPr>
      <w:r>
        <w:rPr>
          <w:rFonts w:hint="eastAsia" w:ascii="黑体" w:hAnsi="黑体" w:eastAsia="黑体" w:cs="宋体"/>
          <w:b/>
          <w:bCs/>
          <w:color w:val="000000" w:themeColor="text1"/>
          <w:kern w:val="0"/>
          <w:sz w:val="44"/>
          <w:szCs w:val="44"/>
          <w14:textFill>
            <w14:solidFill>
              <w14:schemeClr w14:val="tx1"/>
            </w14:solidFill>
          </w14:textFill>
        </w:rPr>
        <w:t>关于对被征收人滕英杰房屋的补偿决定</w:t>
      </w:r>
    </w:p>
    <w:p>
      <w:pPr>
        <w:widowControl/>
        <w:autoSpaceDE w:val="0"/>
        <w:spacing w:line="600" w:lineRule="exact"/>
        <w:jc w:val="center"/>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bCs/>
          <w:color w:val="000000" w:themeColor="text1"/>
          <w:kern w:val="0"/>
          <w:sz w:val="32"/>
          <w:szCs w:val="32"/>
          <w14:textFill>
            <w14:solidFill>
              <w14:schemeClr w14:val="tx1"/>
            </w14:solidFill>
          </w14:textFill>
        </w:rPr>
        <w:t>瓦政房补决字[2015]1-6号</w:t>
      </w:r>
    </w:p>
    <w:p>
      <w:pPr>
        <w:widowControl/>
        <w:spacing w:line="600" w:lineRule="exact"/>
        <w:jc w:val="center"/>
        <w:rPr>
          <w:rFonts w:ascii="宋体" w:hAnsi="宋体" w:cs="宋体"/>
          <w:color w:val="000000" w:themeColor="text1"/>
          <w:kern w:val="0"/>
          <w:sz w:val="2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8"/>
          <w:szCs w:val="48"/>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征收人：瓦房店市人民政府</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所在地址：瓦房店市世纪广场1号</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被征收人：滕英杰，男,汉族，1942年1月31日出生，</w:t>
      </w:r>
    </w:p>
    <w:p>
      <w:pPr>
        <w:widowControl/>
        <w:spacing w:line="600" w:lineRule="exact"/>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住瓦房店市祝丰街祝丰西园414号</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因公共利益建设需要，本机关于2016年1月20日依法作出《关于市政府北侧棚改项目国有土地上房屋实施征收的决定》（瓦政房征决字</w:t>
      </w:r>
      <w:r>
        <w:rPr>
          <w:rFonts w:hint="eastAsia" w:ascii="仿宋" w:hAnsi="仿宋" w:eastAsia="仿宋" w:cs="宋体"/>
          <w:bCs/>
          <w:color w:val="000000" w:themeColor="text1"/>
          <w:kern w:val="0"/>
          <w:sz w:val="32"/>
          <w:szCs w:val="32"/>
          <w14:textFill>
            <w14:solidFill>
              <w14:schemeClr w14:val="tx1"/>
            </w14:solidFill>
          </w14:textFill>
        </w:rPr>
        <w:t>[2015]1号</w:t>
      </w:r>
      <w:r>
        <w:rPr>
          <w:rFonts w:hint="eastAsia" w:ascii="仿宋" w:hAnsi="仿宋" w:eastAsia="仿宋" w:cs="宋体"/>
          <w:color w:val="000000" w:themeColor="text1"/>
          <w:kern w:val="0"/>
          <w:sz w:val="32"/>
          <w:szCs w:val="32"/>
          <w14:textFill>
            <w14:solidFill>
              <w14:schemeClr w14:val="tx1"/>
            </w14:solidFill>
          </w14:textFill>
        </w:rPr>
        <w:t>）并予以公告。被征收房屋所有权人滕英杰（以下称被征收人），房屋坐落文兰办事处祝丰村老粉房，属该项目征收范围。因在《市政府北侧棚户区房屋征收与补偿方案》规定的签订补偿协议期限内，被征收人与房屋征收部门未能达成房屋征收补偿协议，故房屋征收部门依法报请本机关作出房屋补偿决定。</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经查：被征收人滕英杰的房屋位于文兰办事处祝丰村老粉房征收范围内，房屋所有权证号3703152，建筑面积272平方米，用途住宅。房屋征收部门与被征收人滕英杰就房屋征收一事多次协商，但被征收人滕英杰始终对评估价格不认同，导致房屋征收部门与被征收人达不成补偿协议。</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根据国务院《国有土地上房屋征收与补偿条例》（国务院令第590号）第十七条、第十九条、第二十条、第二十一条、第二十二条、第二十六条、第二十八条和《瓦房店市国有土地上房屋征收与补偿实施办法》（瓦政发</w:t>
      </w:r>
      <w:r>
        <w:rPr>
          <w:rFonts w:hint="eastAsia" w:ascii="仿宋" w:hAnsi="仿宋" w:eastAsia="仿宋" w:cs="宋体"/>
          <w:bCs/>
          <w:color w:val="000000" w:themeColor="text1"/>
          <w:kern w:val="0"/>
          <w:sz w:val="32"/>
          <w:szCs w:val="32"/>
          <w14:textFill>
            <w14:solidFill>
              <w14:schemeClr w14:val="tx1"/>
            </w14:solidFill>
          </w14:textFill>
        </w:rPr>
        <w:t>[2015]38号）</w:t>
      </w:r>
      <w:r>
        <w:rPr>
          <w:rFonts w:hint="eastAsia" w:ascii="仿宋" w:hAnsi="仿宋" w:eastAsia="仿宋" w:cs="宋体"/>
          <w:color w:val="000000" w:themeColor="text1"/>
          <w:kern w:val="0"/>
          <w:sz w:val="32"/>
          <w:szCs w:val="32"/>
          <w14:textFill>
            <w14:solidFill>
              <w14:schemeClr w14:val="tx1"/>
            </w14:solidFill>
          </w14:textFill>
        </w:rPr>
        <w:t>等有关规定，以及《市政府北侧棚户区房屋征收与补偿方案》，现本机关作出如下补偿决定：</w:t>
      </w:r>
    </w:p>
    <w:p>
      <w:pPr>
        <w:pStyle w:val="9"/>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一、对被征收人的补偿：</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该区域房屋征收实行货币补偿和自行选购商品房安置两种补偿方式，被征收人滕英杰可任选一种补偿方式。</w:t>
      </w:r>
    </w:p>
    <w:p>
      <w:pPr>
        <w:pStyle w:val="9"/>
        <w:numPr>
          <w:ilvl w:val="0"/>
          <w:numId w:val="1"/>
        </w:numPr>
        <w:ind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货币补偿应得补偿额</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．经评估，被征收房屋的价值补偿（有合法证、照的）：1514496元，大写人民币壹佰伍拾壹万肆仟肆佰玖拾陆元整（272平方米×</w:t>
      </w:r>
      <w:r>
        <w:rPr>
          <w:rFonts w:ascii="仿宋" w:hAnsi="仿宋" w:eastAsia="仿宋"/>
          <w:color w:val="000000" w:themeColor="text1"/>
          <w:sz w:val="32"/>
          <w:szCs w:val="32"/>
          <w14:textFill>
            <w14:solidFill>
              <w14:schemeClr w14:val="tx1"/>
            </w14:solidFill>
          </w14:textFill>
        </w:rPr>
        <w:t>5568</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经评估，附属建筑的价值补偿：137733元，大写人民币拾叁万柒仟柒佰叁拾叁元整。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经评估，树木的价值补偿：25060元，大写人民币贰万伍仟零陆拾元整。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经评估，其他设施的价值补偿：42013元，大写人民币肆万贰仟零壹拾叁元整。</w:t>
      </w:r>
    </w:p>
    <w:p>
      <w:pPr>
        <w:pStyle w:val="9"/>
        <w:ind w:left="660" w:firstLine="0"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5.搬家费：2000元。</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6.临时安置费：36000元（住房建筑面积272×</w:t>
      </w:r>
      <w:r>
        <w:rPr>
          <w:rFonts w:ascii="仿宋" w:hAnsi="仿宋" w:eastAsia="仿宋"/>
          <w:color w:val="000000" w:themeColor="text1"/>
          <w:sz w:val="32"/>
          <w:szCs w:val="32"/>
          <w14:textFill>
            <w14:solidFill>
              <w14:schemeClr w14:val="tx1"/>
            </w14:solidFill>
          </w14:textFill>
        </w:rPr>
        <w:t>15</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月×</w:t>
      </w:r>
      <w:r>
        <w:rPr>
          <w:rFonts w:ascii="仿宋" w:hAnsi="仿宋" w:eastAsia="仿宋"/>
          <w:color w:val="000000" w:themeColor="text1"/>
          <w:sz w:val="32"/>
          <w:szCs w:val="32"/>
          <w14:textFill>
            <w14:solidFill>
              <w14:schemeClr w14:val="tx1"/>
            </w14:solidFill>
          </w14:textFill>
        </w:rPr>
        <w:t>12</w:t>
      </w:r>
      <w:r>
        <w:rPr>
          <w:rFonts w:hint="eastAsia" w:ascii="仿宋" w:hAnsi="仿宋" w:eastAsia="仿宋"/>
          <w:color w:val="000000" w:themeColor="text1"/>
          <w:sz w:val="32"/>
          <w:szCs w:val="32"/>
          <w14:textFill>
            <w14:solidFill>
              <w14:schemeClr w14:val="tx1"/>
            </w14:solidFill>
          </w14:textFill>
        </w:rPr>
        <w:t>个月）。</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7.被征收人选择货币补偿奖励20000元。</w:t>
      </w:r>
    </w:p>
    <w:p>
      <w:pPr>
        <w:tabs>
          <w:tab w:val="left" w:pos="993"/>
        </w:tabs>
        <w:ind w:firstLine="66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货币补偿合计1777302元，大写人民币壹佰柒拾柒万柒仟叁佰零贰元整。</w:t>
      </w:r>
    </w:p>
    <w:p>
      <w:pPr>
        <w:pStyle w:val="9"/>
        <w:numPr>
          <w:ilvl w:val="0"/>
          <w:numId w:val="1"/>
        </w:numPr>
        <w:ind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自行选购商品房安置应得补偿额</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．经评估，被征收房屋的价值补偿（有合法证、照的）：1514496元，大写人民币壹佰伍拾壹万肆仟肆佰玖拾陆元整（272平方米×</w:t>
      </w:r>
      <w:r>
        <w:rPr>
          <w:rFonts w:ascii="仿宋" w:hAnsi="仿宋" w:eastAsia="仿宋"/>
          <w:color w:val="000000" w:themeColor="text1"/>
          <w:sz w:val="32"/>
          <w:szCs w:val="32"/>
          <w14:textFill>
            <w14:solidFill>
              <w14:schemeClr w14:val="tx1"/>
            </w14:solidFill>
          </w14:textFill>
        </w:rPr>
        <w:t>5568</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经评估，附属建筑的价值补偿：137733元，大写人民币拾叁万柒仟柒佰叁拾叁元整。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经评估，树木的价值补偿：25060元，大写人民币贰万伍仟零陆拾元整。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经评估，其他设施的价值补偿：42013元，大写人民币肆万贰仟零壹拾叁元整。</w:t>
      </w:r>
    </w:p>
    <w:p>
      <w:pPr>
        <w:pStyle w:val="9"/>
        <w:ind w:left="660" w:firstLine="0"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5.搬家费：2000元。</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6.临时安置费：36000元（住房建筑面积272×</w:t>
      </w:r>
      <w:r>
        <w:rPr>
          <w:rFonts w:ascii="仿宋" w:hAnsi="仿宋" w:eastAsia="仿宋"/>
          <w:color w:val="000000" w:themeColor="text1"/>
          <w:sz w:val="32"/>
          <w:szCs w:val="32"/>
          <w14:textFill>
            <w14:solidFill>
              <w14:schemeClr w14:val="tx1"/>
            </w14:solidFill>
          </w14:textFill>
        </w:rPr>
        <w:t>15</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月×</w:t>
      </w:r>
      <w:r>
        <w:rPr>
          <w:rFonts w:ascii="仿宋" w:hAnsi="仿宋" w:eastAsia="仿宋"/>
          <w:color w:val="000000" w:themeColor="text1"/>
          <w:sz w:val="32"/>
          <w:szCs w:val="32"/>
          <w14:textFill>
            <w14:solidFill>
              <w14:schemeClr w14:val="tx1"/>
            </w14:solidFill>
          </w14:textFill>
        </w:rPr>
        <w:t>12</w:t>
      </w:r>
      <w:r>
        <w:rPr>
          <w:rFonts w:hint="eastAsia" w:ascii="仿宋" w:hAnsi="仿宋" w:eastAsia="仿宋"/>
          <w:color w:val="000000" w:themeColor="text1"/>
          <w:sz w:val="32"/>
          <w:szCs w:val="32"/>
          <w14:textFill>
            <w14:solidFill>
              <w14:schemeClr w14:val="tx1"/>
            </w14:solidFill>
          </w14:textFill>
        </w:rPr>
        <w:t>个月）。</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7.购房补助为：272平方米×</w:t>
      </w:r>
      <w:r>
        <w:rPr>
          <w:rFonts w:ascii="仿宋" w:hAnsi="仿宋" w:eastAsia="仿宋"/>
          <w:color w:val="000000" w:themeColor="text1"/>
          <w:sz w:val="32"/>
          <w:szCs w:val="32"/>
          <w14:textFill>
            <w14:solidFill>
              <w14:schemeClr w14:val="tx1"/>
            </w14:solidFill>
          </w14:textFill>
        </w:rPr>
        <w:t>5568</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平方米=1514496元，1514496元×20%=302899元-20000元=282899元（注：申请购房市场化安置补助的，需扣除选择货币奖励</w:t>
      </w:r>
      <w:r>
        <w:rPr>
          <w:rFonts w:ascii="仿宋" w:hAnsi="仿宋" w:eastAsia="仿宋"/>
          <w:color w:val="000000" w:themeColor="text1"/>
          <w:sz w:val="32"/>
          <w:szCs w:val="32"/>
          <w14:textFill>
            <w14:solidFill>
              <w14:schemeClr w14:val="tx1"/>
            </w14:solidFill>
          </w14:textFill>
        </w:rPr>
        <w:t>20000</w:t>
      </w:r>
      <w:r>
        <w:rPr>
          <w:rFonts w:hint="eastAsia" w:ascii="仿宋" w:hAnsi="仿宋" w:eastAsia="仿宋"/>
          <w:color w:val="000000" w:themeColor="text1"/>
          <w:sz w:val="32"/>
          <w:szCs w:val="32"/>
          <w14:textFill>
            <w14:solidFill>
              <w14:schemeClr w14:val="tx1"/>
            </w14:solidFill>
          </w14:textFill>
        </w:rPr>
        <w:t>元奖励）。</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自行选购商品房安置补偿合计2040201元，大写人民币贰佰零肆万零贰佰零壹元整。</w:t>
      </w:r>
    </w:p>
    <w:p>
      <w:pPr>
        <w:pStyle w:val="9"/>
        <w:ind w:firstLine="0"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 xml:space="preserve">    8.选择自行选购商品房安置的，需符合下列条件：</w:t>
      </w:r>
    </w:p>
    <w:p>
      <w:pPr>
        <w:pStyle w:val="9"/>
        <w:tabs>
          <w:tab w:val="left" w:pos="1134"/>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（1）补助条件：</w:t>
      </w:r>
      <w:r>
        <w:rPr>
          <w:rFonts w:hint="eastAsia" w:ascii="仿宋" w:hAnsi="仿宋" w:eastAsia="仿宋"/>
          <w:color w:val="000000" w:themeColor="text1"/>
          <w:sz w:val="32"/>
          <w:szCs w:val="32"/>
          <w14:textFill>
            <w14:solidFill>
              <w14:schemeClr w14:val="tx1"/>
            </w14:solidFill>
          </w14:textFill>
        </w:rPr>
        <w:sym w:font="Wingdings" w:char="F081"/>
      </w:r>
      <w:r>
        <w:rPr>
          <w:rFonts w:hint="eastAsia" w:ascii="仿宋" w:hAnsi="仿宋" w:eastAsia="仿宋"/>
          <w:color w:val="000000" w:themeColor="text1"/>
          <w:sz w:val="32"/>
          <w:szCs w:val="32"/>
          <w14:textFill>
            <w14:solidFill>
              <w14:schemeClr w14:val="tx1"/>
            </w14:solidFill>
          </w14:textFill>
        </w:rPr>
        <w:t>被征收人自领取货币补偿款之日起</w:t>
      </w:r>
      <w:r>
        <w:rPr>
          <w:rFonts w:ascii="仿宋" w:hAnsi="仿宋" w:eastAsia="仿宋"/>
          <w:color w:val="000000" w:themeColor="text1"/>
          <w:sz w:val="32"/>
          <w:szCs w:val="32"/>
          <w14:textFill>
            <w14:solidFill>
              <w14:schemeClr w14:val="tx1"/>
            </w14:solidFill>
          </w14:textFill>
        </w:rPr>
        <w:t>10</w:t>
      </w:r>
      <w:r>
        <w:rPr>
          <w:rFonts w:hint="eastAsia" w:ascii="仿宋" w:hAnsi="仿宋" w:eastAsia="仿宋"/>
          <w:color w:val="000000" w:themeColor="text1"/>
          <w:sz w:val="32"/>
          <w:szCs w:val="32"/>
          <w14:textFill>
            <w14:solidFill>
              <w14:schemeClr w14:val="tx1"/>
            </w14:solidFill>
          </w14:textFill>
        </w:rPr>
        <w:t>个月内购置一手商品房（含营业和办公用房）的，给予购房补助；</w:t>
      </w:r>
      <w:r>
        <w:rPr>
          <w:rFonts w:hint="eastAsia" w:ascii="仿宋" w:hAnsi="仿宋" w:eastAsia="仿宋"/>
          <w:color w:val="000000" w:themeColor="text1"/>
          <w:sz w:val="32"/>
          <w:szCs w:val="32"/>
          <w14:textFill>
            <w14:solidFill>
              <w14:schemeClr w14:val="tx1"/>
            </w14:solidFill>
          </w14:textFill>
        </w:rPr>
        <w:sym w:font="Wingdings" w:char="F082"/>
      </w:r>
      <w:r>
        <w:rPr>
          <w:rFonts w:hint="eastAsia" w:ascii="仿宋" w:hAnsi="仿宋" w:eastAsia="仿宋"/>
          <w:color w:val="000000" w:themeColor="text1"/>
          <w:sz w:val="32"/>
          <w:szCs w:val="32"/>
          <w14:textFill>
            <w14:solidFill>
              <w14:schemeClr w14:val="tx1"/>
            </w14:solidFill>
          </w14:textFill>
        </w:rPr>
        <w:t>被征收人所选购的商品房坐落于瓦房店市行政区域内。</w:t>
      </w:r>
    </w:p>
    <w:p>
      <w:pPr>
        <w:pStyle w:val="9"/>
        <w:numPr>
          <w:ilvl w:val="255"/>
          <w:numId w:val="0"/>
        </w:numPr>
        <w:tabs>
          <w:tab w:val="left" w:pos="1134"/>
        </w:tabs>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）购房时间确定：被征收人购买现房的，购房时间以契税凭证取得时间为准；购买期房的，购房时间以《商品房买卖合同》的备案登记之日为准。</w:t>
      </w:r>
      <w:r>
        <w:rPr>
          <w:rFonts w:ascii="仿宋" w:hAnsi="仿宋" w:eastAsia="仿宋"/>
          <w:color w:val="000000" w:themeColor="text1"/>
          <w:sz w:val="32"/>
          <w:szCs w:val="32"/>
          <w14:textFill>
            <w14:solidFill>
              <w14:schemeClr w14:val="tx1"/>
            </w14:solidFill>
          </w14:textFill>
        </w:rPr>
        <w:t xml:space="preserve">   </w:t>
      </w:r>
    </w:p>
    <w:p>
      <w:pPr>
        <w:pStyle w:val="9"/>
        <w:ind w:firstLine="640"/>
        <w:rPr>
          <w:rFonts w:ascii="仿宋" w:hAnsi="仿宋" w:eastAsia="仿宋"/>
          <w:b/>
          <w:bCs/>
          <w:color w:val="000000" w:themeColor="text1"/>
          <w:sz w:val="32"/>
          <w:szCs w:val="32"/>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二、</w:t>
      </w:r>
      <w:r>
        <w:rPr>
          <w:rFonts w:hint="eastAsia" w:ascii="仿宋" w:hAnsi="仿宋" w:eastAsia="仿宋" w:cs="宋体"/>
          <w:b/>
          <w:bCs/>
          <w:color w:val="000000" w:themeColor="text1"/>
          <w:kern w:val="0"/>
          <w:sz w:val="32"/>
          <w:szCs w:val="32"/>
          <w14:textFill>
            <w14:solidFill>
              <w14:schemeClr w14:val="tx1"/>
            </w14:solidFill>
          </w14:textFill>
        </w:rPr>
        <w:t>被征收人应当自本补偿决定送达之日起15日内将房屋腾空并交付验收、拆除。</w:t>
      </w:r>
    </w:p>
    <w:p>
      <w:pPr>
        <w:widowControl/>
        <w:spacing w:line="600" w:lineRule="exact"/>
        <w:ind w:firstLine="643" w:firstLineChars="200"/>
        <w:jc w:val="left"/>
        <w:rPr>
          <w:rFonts w:ascii="仿宋" w:hAnsi="仿宋" w:eastAsia="仿宋" w:cs="宋体"/>
          <w:b/>
          <w:bCs/>
          <w:color w:val="000000" w:themeColor="text1"/>
          <w:kern w:val="0"/>
          <w:sz w:val="32"/>
          <w:szCs w:val="32"/>
          <w14:textFill>
            <w14:solidFill>
              <w14:schemeClr w14:val="tx1"/>
            </w14:solidFill>
          </w14:textFill>
        </w:rPr>
      </w:pPr>
      <w:r>
        <w:rPr>
          <w:rFonts w:hint="eastAsia" w:ascii="仿宋" w:hAnsi="仿宋" w:eastAsia="仿宋" w:cs="宋体"/>
          <w:b/>
          <w:bCs/>
          <w:color w:val="000000" w:themeColor="text1"/>
          <w:kern w:val="0"/>
          <w:sz w:val="32"/>
          <w:szCs w:val="32"/>
          <w14:textFill>
            <w14:solidFill>
              <w14:schemeClr w14:val="tx1"/>
            </w14:solidFill>
          </w14:textFill>
        </w:rPr>
        <w:t>三、被征收人如不服本补偿决定，可自收到本补偿决定之日起60日内向上一级人民政府申请行政复议，也可自收到本补偿决定之日起六个月内向大连市中级市人民法院提起行政诉讼。</w:t>
      </w:r>
    </w:p>
    <w:p>
      <w:pPr>
        <w:widowControl/>
        <w:spacing w:line="600" w:lineRule="exact"/>
        <w:ind w:firstLine="643" w:firstLineChars="200"/>
        <w:jc w:val="left"/>
        <w:rPr>
          <w:rFonts w:ascii="仿宋" w:hAnsi="仿宋" w:eastAsia="仿宋" w:cs="宋体"/>
          <w:b/>
          <w:bCs/>
          <w:color w:val="000000" w:themeColor="text1"/>
          <w:kern w:val="0"/>
          <w:sz w:val="32"/>
          <w:szCs w:val="32"/>
          <w14:textFill>
            <w14:solidFill>
              <w14:schemeClr w14:val="tx1"/>
            </w14:solidFill>
          </w14:textFill>
        </w:rPr>
      </w:pPr>
      <w:r>
        <w:rPr>
          <w:rFonts w:hint="eastAsia" w:ascii="仿宋" w:hAnsi="仿宋" w:eastAsia="仿宋" w:cs="宋体"/>
          <w:b/>
          <w:bCs/>
          <w:color w:val="000000" w:themeColor="text1"/>
          <w:kern w:val="0"/>
          <w:sz w:val="32"/>
          <w:szCs w:val="32"/>
          <w14:textFill>
            <w14:solidFill>
              <w14:schemeClr w14:val="tx1"/>
            </w14:solidFill>
          </w14:textFill>
        </w:rPr>
        <w:t>四、被征收人在法定期限内不申请行政复议或者不提起行政诉讼，在补偿决定规定的期限内又不履行腾空搬迁义务的，本机关将依法申请人民法院强制执行。</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wordWrap w:val="0"/>
        <w:spacing w:line="240" w:lineRule="auto"/>
        <w:jc w:val="right"/>
        <w:rPr>
          <w:rFonts w:hint="eastAsia"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瓦房店市人民政府</w:t>
      </w:r>
      <w:r>
        <w:rPr>
          <w:rFonts w:hint="eastAsia" w:ascii="仿宋" w:hAnsi="仿宋" w:eastAsia="仿宋" w:cs="宋体"/>
          <w:color w:val="000000" w:themeColor="text1"/>
          <w:kern w:val="0"/>
          <w:sz w:val="32"/>
          <w:szCs w:val="32"/>
          <w:lang w:val="en-US" w:eastAsia="zh-CN"/>
          <w14:textFill>
            <w14:solidFill>
              <w14:schemeClr w14:val="tx1"/>
            </w14:solidFill>
          </w14:textFill>
        </w:rPr>
        <w:t xml:space="preserve">    </w:t>
      </w:r>
    </w:p>
    <w:p>
      <w:pPr>
        <w:widowControl/>
        <w:wordWrap w:val="0"/>
        <w:spacing w:line="240" w:lineRule="auto"/>
        <w:jc w:val="right"/>
        <w:rPr>
          <w:rFonts w:ascii="仿宋" w:hAnsi="仿宋" w:eastAsia="仿宋"/>
          <w:sz w:val="32"/>
          <w:szCs w:val="32"/>
          <w:lang w:val="en-US"/>
        </w:rPr>
      </w:pPr>
      <w:r>
        <w:rPr>
          <w:rFonts w:hint="eastAsia" w:ascii="仿宋" w:hAnsi="仿宋" w:eastAsia="仿宋" w:cs="宋体"/>
          <w:color w:val="000000" w:themeColor="text1"/>
          <w:kern w:val="0"/>
          <w:sz w:val="32"/>
          <w:szCs w:val="32"/>
          <w14:textFill>
            <w14:solidFill>
              <w14:schemeClr w14:val="tx1"/>
            </w14:solidFill>
          </w14:textFill>
        </w:rPr>
        <w:t>2017年10月23日</w:t>
      </w:r>
      <w:r>
        <w:rPr>
          <w:rFonts w:hint="eastAsia" w:ascii="仿宋" w:hAnsi="仿宋" w:eastAsia="仿宋"/>
          <w:sz w:val="32"/>
          <w:szCs w:val="32"/>
          <w:lang w:val="en-US" w:eastAsia="zh-CN"/>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0000000000000000000"/>
    <w:charset w:val="86"/>
    <w:family w:val="roma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EB7AD2"/>
    <w:multiLevelType w:val="multilevel"/>
    <w:tmpl w:val="6EEB7AD2"/>
    <w:lvl w:ilvl="0" w:tentative="0">
      <w:start w:val="1"/>
      <w:numFmt w:val="japaneseCounting"/>
      <w:lvlText w:val="（%1）"/>
      <w:lvlJc w:val="left"/>
      <w:pPr>
        <w:ind w:left="1740" w:hanging="1080"/>
      </w:pPr>
      <w:rPr>
        <w:rFonts w:hint="default" w:cs="Times New Roman"/>
      </w:rPr>
    </w:lvl>
    <w:lvl w:ilvl="1" w:tentative="0">
      <w:start w:val="1"/>
      <w:numFmt w:val="lowerLetter"/>
      <w:lvlText w:val="%2)"/>
      <w:lvlJc w:val="left"/>
      <w:pPr>
        <w:ind w:left="1500" w:hanging="420"/>
      </w:pPr>
      <w:rPr>
        <w:rFonts w:cs="Times New Roman"/>
      </w:rPr>
    </w:lvl>
    <w:lvl w:ilvl="2" w:tentative="0">
      <w:start w:val="1"/>
      <w:numFmt w:val="lowerRoman"/>
      <w:lvlText w:val="%3."/>
      <w:lvlJc w:val="right"/>
      <w:pPr>
        <w:ind w:left="1920" w:hanging="420"/>
      </w:pPr>
      <w:rPr>
        <w:rFonts w:cs="Times New Roman"/>
      </w:rPr>
    </w:lvl>
    <w:lvl w:ilvl="3" w:tentative="0">
      <w:start w:val="1"/>
      <w:numFmt w:val="decimal"/>
      <w:lvlText w:val="%4."/>
      <w:lvlJc w:val="left"/>
      <w:pPr>
        <w:ind w:left="2340" w:hanging="420"/>
      </w:pPr>
      <w:rPr>
        <w:rFonts w:cs="Times New Roman"/>
      </w:rPr>
    </w:lvl>
    <w:lvl w:ilvl="4" w:tentative="0">
      <w:start w:val="1"/>
      <w:numFmt w:val="lowerLetter"/>
      <w:lvlText w:val="%5)"/>
      <w:lvlJc w:val="left"/>
      <w:pPr>
        <w:ind w:left="2760" w:hanging="420"/>
      </w:pPr>
      <w:rPr>
        <w:rFonts w:cs="Times New Roman"/>
      </w:rPr>
    </w:lvl>
    <w:lvl w:ilvl="5" w:tentative="0">
      <w:start w:val="1"/>
      <w:numFmt w:val="lowerRoman"/>
      <w:lvlText w:val="%6."/>
      <w:lvlJc w:val="right"/>
      <w:pPr>
        <w:ind w:left="3180" w:hanging="420"/>
      </w:pPr>
      <w:rPr>
        <w:rFonts w:cs="Times New Roman"/>
      </w:rPr>
    </w:lvl>
    <w:lvl w:ilvl="6" w:tentative="0">
      <w:start w:val="1"/>
      <w:numFmt w:val="decimal"/>
      <w:lvlText w:val="%7."/>
      <w:lvlJc w:val="left"/>
      <w:pPr>
        <w:ind w:left="3600" w:hanging="420"/>
      </w:pPr>
      <w:rPr>
        <w:rFonts w:cs="Times New Roman"/>
      </w:rPr>
    </w:lvl>
    <w:lvl w:ilvl="7" w:tentative="0">
      <w:start w:val="1"/>
      <w:numFmt w:val="lowerLetter"/>
      <w:lvlText w:val="%8)"/>
      <w:lvlJc w:val="left"/>
      <w:pPr>
        <w:ind w:left="4020" w:hanging="420"/>
      </w:pPr>
      <w:rPr>
        <w:rFonts w:cs="Times New Roman"/>
      </w:rPr>
    </w:lvl>
    <w:lvl w:ilvl="8" w:tentative="0">
      <w:start w:val="1"/>
      <w:numFmt w:val="lowerRoman"/>
      <w:lvlText w:val="%9."/>
      <w:lvlJc w:val="right"/>
      <w:pPr>
        <w:ind w:left="444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0495C"/>
    <w:rsid w:val="0001050A"/>
    <w:rsid w:val="00010EAA"/>
    <w:rsid w:val="00077D75"/>
    <w:rsid w:val="00085489"/>
    <w:rsid w:val="00191546"/>
    <w:rsid w:val="001E5EC6"/>
    <w:rsid w:val="0027635F"/>
    <w:rsid w:val="00281D7F"/>
    <w:rsid w:val="002C55C8"/>
    <w:rsid w:val="00362D3F"/>
    <w:rsid w:val="003D7D29"/>
    <w:rsid w:val="00446AD9"/>
    <w:rsid w:val="004C67DB"/>
    <w:rsid w:val="004F7D86"/>
    <w:rsid w:val="00516CDD"/>
    <w:rsid w:val="00532118"/>
    <w:rsid w:val="00676C50"/>
    <w:rsid w:val="006E55A8"/>
    <w:rsid w:val="0072238C"/>
    <w:rsid w:val="007500AA"/>
    <w:rsid w:val="007B310D"/>
    <w:rsid w:val="00801766"/>
    <w:rsid w:val="00861B90"/>
    <w:rsid w:val="008C17CE"/>
    <w:rsid w:val="008F1D0F"/>
    <w:rsid w:val="00944644"/>
    <w:rsid w:val="009E4F77"/>
    <w:rsid w:val="00A10BCF"/>
    <w:rsid w:val="00A22A59"/>
    <w:rsid w:val="00AC75DE"/>
    <w:rsid w:val="00B04B9E"/>
    <w:rsid w:val="00BA0149"/>
    <w:rsid w:val="00C07B92"/>
    <w:rsid w:val="00C12A92"/>
    <w:rsid w:val="00CA20FF"/>
    <w:rsid w:val="00CB1193"/>
    <w:rsid w:val="00CD3A4D"/>
    <w:rsid w:val="00D0495C"/>
    <w:rsid w:val="00E105AF"/>
    <w:rsid w:val="00E222AE"/>
    <w:rsid w:val="00E26B0A"/>
    <w:rsid w:val="00E73D91"/>
    <w:rsid w:val="00E757A4"/>
    <w:rsid w:val="00ED5EE3"/>
    <w:rsid w:val="00F74876"/>
    <w:rsid w:val="00F87710"/>
    <w:rsid w:val="00FC1C06"/>
    <w:rsid w:val="00FC6459"/>
    <w:rsid w:val="2D0C64A8"/>
    <w:rsid w:val="45DD4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uiPriority w:val="99"/>
    <w:rPr>
      <w:sz w:val="32"/>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rFonts w:ascii="Times New Roman" w:hAnsi="Times New Roman" w:eastAsia="宋体" w:cs="Times New Roman"/>
      <w:sz w:val="18"/>
      <w:szCs w:val="18"/>
    </w:rPr>
  </w:style>
  <w:style w:type="character" w:customStyle="1" w:styleId="8">
    <w:name w:val="页脚 Char"/>
    <w:basedOn w:val="5"/>
    <w:link w:val="3"/>
    <w:semiHidden/>
    <w:uiPriority w:val="99"/>
    <w:rPr>
      <w:rFonts w:ascii="Times New Roman" w:hAnsi="Times New Roman" w:eastAsia="宋体" w:cs="Times New Roman"/>
      <w:sz w:val="18"/>
      <w:szCs w:val="18"/>
    </w:rPr>
  </w:style>
  <w:style w:type="paragraph" w:customStyle="1" w:styleId="9">
    <w:name w:val="列出段落1"/>
    <w:basedOn w:val="1"/>
    <w:qFormat/>
    <w:uiPriority w:val="99"/>
    <w:pPr>
      <w:ind w:firstLine="420" w:firstLineChars="200"/>
    </w:pPr>
    <w:rPr>
      <w:rFonts w:ascii="Calibri" w:hAnsi="Calibri"/>
      <w:szCs w:val="22"/>
    </w:rPr>
  </w:style>
  <w:style w:type="paragraph" w:customStyle="1"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268</Words>
  <Characters>1531</Characters>
  <Lines>12</Lines>
  <Paragraphs>3</Paragraphs>
  <ScaleCrop>false</ScaleCrop>
  <LinksUpToDate>false</LinksUpToDate>
  <CharactersWithSpaces>1796</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2017-09-28T05:39:00Z</dcterms:created>
  <dc:creator>Administrator</dc:creator>
  <cp:lastModifiedBy>Administrator</cp:lastModifiedBy>
  <cp:lastPrinted>2017-10-23T06:26:48Z</cp:lastPrinted>
  <dcterms:modified xsi:type="dcterms:W3CDTF">2017-10-23T06:31:22Z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